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6DD0" w:rsidRPr="00C57A5A" w:rsidRDefault="00806DD0" w:rsidP="00806DD0">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3GPP TSG-RAN WG4 Meeting #93</w:t>
      </w:r>
      <w:r>
        <w:rPr>
          <w:rFonts w:asciiTheme="minorHAnsi" w:eastAsiaTheme="minorEastAsia" w:hAnsiTheme="minorHAnsi" w:cs="Arial"/>
          <w:bCs/>
          <w:noProof w:val="0"/>
          <w:sz w:val="22"/>
          <w:szCs w:val="22"/>
          <w:lang w:eastAsia="zh-CN"/>
        </w:rPr>
        <w:t xml:space="preserve">                  </w:t>
      </w:r>
      <w:r w:rsidR="00A81154">
        <w:rPr>
          <w:rFonts w:asciiTheme="minorHAnsi" w:eastAsiaTheme="minorEastAsia" w:hAnsiTheme="minorHAnsi" w:cs="Arial"/>
          <w:bCs/>
          <w:noProof w:val="0"/>
          <w:sz w:val="22"/>
          <w:szCs w:val="22"/>
          <w:lang w:eastAsia="zh-CN"/>
        </w:rPr>
        <w:t xml:space="preserve">                               </w:t>
      </w:r>
      <w:bookmarkStart w:id="2" w:name="_GoBack"/>
      <w:bookmarkEnd w:id="2"/>
      <w:r w:rsidR="00A81154" w:rsidRPr="00A81154">
        <w:rPr>
          <w:rFonts w:asciiTheme="minorHAnsi" w:eastAsiaTheme="minorEastAsia" w:hAnsiTheme="minorHAnsi" w:cs="Arial"/>
          <w:bCs/>
          <w:noProof w:val="0"/>
          <w:sz w:val="22"/>
          <w:szCs w:val="22"/>
          <w:lang w:eastAsia="zh-CN"/>
        </w:rPr>
        <w:t>R4-1914077</w:t>
      </w:r>
    </w:p>
    <w:p w:rsidR="00806DD0" w:rsidRPr="00C57A5A" w:rsidRDefault="00806DD0" w:rsidP="00806DD0">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Reno, USA, 18th</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22nd Nov,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3442DB">
        <w:rPr>
          <w:rFonts w:cs="Arial"/>
          <w:b/>
          <w:bCs/>
        </w:rPr>
        <w:t>9.1.4.8</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C90724" w:rsidRPr="00C90724">
        <w:rPr>
          <w:rFonts w:cs="Arial"/>
          <w:b/>
          <w:bCs/>
        </w:rPr>
        <w:t xml:space="preserve">Discussion on </w:t>
      </w:r>
      <w:r w:rsidR="003442DB">
        <w:rPr>
          <w:b/>
        </w:rPr>
        <w:t>RLM requirement for</w:t>
      </w:r>
      <w:r w:rsidR="003442DB"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3442DB" w:rsidRPr="00BD630F" w:rsidRDefault="007B4EC3" w:rsidP="00DD0EEE">
      <w:pPr>
        <w:jc w:val="both"/>
        <w:rPr>
          <w:lang w:eastAsia="ja-JP"/>
        </w:rPr>
      </w:pPr>
      <w:r>
        <w:rPr>
          <w:lang w:eastAsia="ja-JP"/>
        </w:rPr>
        <w:t xml:space="preserve">The reliability of </w:t>
      </w:r>
      <w:r w:rsidRPr="00CD608C">
        <w:rPr>
          <w:lang w:eastAsia="ja-JP"/>
        </w:rPr>
        <w:t xml:space="preserve">UE </w:t>
      </w:r>
      <w:r w:rsidR="008A2AF1">
        <w:rPr>
          <w:lang w:eastAsia="ja-JP"/>
        </w:rPr>
        <w:t xml:space="preserve">detection for the presence of </w:t>
      </w:r>
      <w:r w:rsidRPr="00CD608C">
        <w:rPr>
          <w:lang w:eastAsia="ja-JP"/>
        </w:rPr>
        <w:t>SSB</w:t>
      </w:r>
      <w:r w:rsidR="008A2AF1">
        <w:rPr>
          <w:lang w:eastAsia="ja-JP"/>
        </w:rPr>
        <w:t>s</w:t>
      </w:r>
      <w:r>
        <w:rPr>
          <w:lang w:eastAsia="ja-JP"/>
        </w:rPr>
        <w:t xml:space="preserve"> has been discussed. In this paper, the corresponding simulation result is provided, and the RLM requirement</w:t>
      </w:r>
      <w:r w:rsidR="001A38C9">
        <w:rPr>
          <w:lang w:eastAsia="ja-JP"/>
        </w:rPr>
        <w:t>s</w:t>
      </w:r>
      <w:r>
        <w:rPr>
          <w:lang w:eastAsia="ja-JP"/>
        </w:rPr>
        <w:t xml:space="preserve"> </w:t>
      </w:r>
      <w:r w:rsidR="008A2AF1">
        <w:rPr>
          <w:lang w:eastAsia="ja-JP"/>
        </w:rPr>
        <w:t xml:space="preserve">for NR-U </w:t>
      </w:r>
      <w:r>
        <w:rPr>
          <w:lang w:eastAsia="ja-JP"/>
        </w:rPr>
        <w:t xml:space="preserve">are also discussed.  </w:t>
      </w:r>
    </w:p>
    <w:p w:rsidR="0045132D" w:rsidRPr="00513BA7" w:rsidRDefault="003442DB" w:rsidP="0045132D">
      <w:pPr>
        <w:pStyle w:val="1"/>
        <w:numPr>
          <w:ilvl w:val="0"/>
          <w:numId w:val="2"/>
        </w:numPr>
        <w:rPr>
          <w:rFonts w:ascii="Calibri" w:hAnsi="Calibri"/>
        </w:rPr>
      </w:pPr>
      <w:r>
        <w:rPr>
          <w:rFonts w:ascii="Calibri" w:hAnsi="Calibri"/>
        </w:rPr>
        <w:t xml:space="preserve">Analysis on </w:t>
      </w:r>
      <w:r w:rsidR="00E55782">
        <w:rPr>
          <w:rFonts w:ascii="Calibri" w:hAnsi="Calibri"/>
        </w:rPr>
        <w:t xml:space="preserve">UE </w:t>
      </w:r>
      <w:r>
        <w:rPr>
          <w:rFonts w:ascii="Calibri" w:hAnsi="Calibri"/>
        </w:rPr>
        <w:t xml:space="preserve">detection </w:t>
      </w:r>
      <w:r w:rsidR="0004764E">
        <w:rPr>
          <w:rFonts w:ascii="Calibri" w:hAnsi="Calibri"/>
        </w:rPr>
        <w:t>for</w:t>
      </w:r>
      <w:r>
        <w:rPr>
          <w:rFonts w:ascii="Calibri" w:hAnsi="Calibri"/>
        </w:rPr>
        <w:t xml:space="preserve"> the presen</w:t>
      </w:r>
      <w:r w:rsidR="00DA30B7">
        <w:rPr>
          <w:rFonts w:ascii="Calibri" w:hAnsi="Calibri"/>
        </w:rPr>
        <w:t>ce</w:t>
      </w:r>
      <w:r>
        <w:rPr>
          <w:rFonts w:ascii="Calibri" w:hAnsi="Calibri"/>
        </w:rPr>
        <w:t xml:space="preserve"> </w:t>
      </w:r>
      <w:r w:rsidR="00EB700F">
        <w:rPr>
          <w:rFonts w:ascii="Calibri" w:hAnsi="Calibri"/>
        </w:rPr>
        <w:t xml:space="preserve">of </w:t>
      </w:r>
      <w:r>
        <w:rPr>
          <w:rFonts w:ascii="Calibri" w:hAnsi="Calibri"/>
        </w:rPr>
        <w:t>SSB</w:t>
      </w:r>
      <w:r w:rsidR="008A2AF1">
        <w:rPr>
          <w:rFonts w:ascii="Calibri" w:hAnsi="Calibri"/>
        </w:rPr>
        <w:t>s</w:t>
      </w:r>
    </w:p>
    <w:p w:rsidR="00883DC4" w:rsidRDefault="006A0755" w:rsidP="00C26AAC">
      <w:pPr>
        <w:jc w:val="both"/>
      </w:pPr>
      <w:r>
        <w:t>Since DL LBT failure is unknown to UE, UE would just perform SINR estimat</w:t>
      </w:r>
      <w:r w:rsidR="008A2AF1">
        <w:t xml:space="preserve">ion </w:t>
      </w:r>
      <w:r>
        <w:t xml:space="preserve">on </w:t>
      </w:r>
      <w:r w:rsidR="008A2AF1">
        <w:t xml:space="preserve">the candidate </w:t>
      </w:r>
      <w:r>
        <w:t>SSB</w:t>
      </w:r>
      <w:r w:rsidR="008A2AF1">
        <w:t xml:space="preserve"> positions</w:t>
      </w:r>
      <w:r>
        <w:t xml:space="preserve"> </w:t>
      </w:r>
      <w:r w:rsidR="008A2AF1">
        <w:t>by assuming the SSB is transmitted</w:t>
      </w:r>
      <w:r>
        <w:t xml:space="preserve">, even if the DRS was not transmitted by BS. </w:t>
      </w:r>
      <w:r w:rsidR="00883DC4">
        <w:t xml:space="preserve">One </w:t>
      </w:r>
      <w:r w:rsidR="00E73E77" w:rsidRPr="00E73E77">
        <w:t>conjecture</w:t>
      </w:r>
      <w:r w:rsidR="00E73E77">
        <w:t xml:space="preserve"> </w:t>
      </w:r>
      <w:r w:rsidR="00883DC4">
        <w:t xml:space="preserve">in last meeting </w:t>
      </w:r>
      <w:r w:rsidR="00E73E77">
        <w:t>wa</w:t>
      </w:r>
      <w:r w:rsidR="00883DC4">
        <w:t>s that UE may be able to tell whether DRS was transmitted or not based on the RSRP estimation. To address this comment, we conducted some simulation to further chec</w:t>
      </w:r>
      <w:r w:rsidR="000F6132">
        <w:t>k</w:t>
      </w:r>
      <w:r w:rsidR="000F6132" w:rsidRPr="000F6132">
        <w:rPr>
          <w:lang w:eastAsia="ja-JP"/>
        </w:rPr>
        <w:t xml:space="preserve"> </w:t>
      </w:r>
      <w:r w:rsidR="000F6132">
        <w:rPr>
          <w:lang w:eastAsia="ja-JP"/>
        </w:rPr>
        <w:t xml:space="preserve">the reliability of </w:t>
      </w:r>
      <w:r w:rsidR="000F6132" w:rsidRPr="00CD608C">
        <w:rPr>
          <w:lang w:eastAsia="ja-JP"/>
        </w:rPr>
        <w:t xml:space="preserve">presence </w:t>
      </w:r>
      <w:r w:rsidR="000F6132">
        <w:rPr>
          <w:lang w:eastAsia="ja-JP"/>
        </w:rPr>
        <w:t>detection on</w:t>
      </w:r>
      <w:r w:rsidR="000F6132" w:rsidRPr="00CD608C">
        <w:rPr>
          <w:lang w:eastAsia="ja-JP"/>
        </w:rPr>
        <w:t xml:space="preserve"> SSB</w:t>
      </w:r>
      <w:r w:rsidR="000F6132">
        <w:rPr>
          <w:lang w:eastAsia="ja-JP"/>
        </w:rPr>
        <w:t>s, in a single cell scenario.</w:t>
      </w:r>
    </w:p>
    <w:p w:rsidR="00C26AAC" w:rsidRPr="00C26AAC" w:rsidRDefault="000F6132" w:rsidP="00C26AAC">
      <w:pPr>
        <w:jc w:val="both"/>
        <w:rPr>
          <w:lang w:eastAsia="ja-JP"/>
        </w:rPr>
      </w:pPr>
      <w:r>
        <w:rPr>
          <w:lang w:eastAsia="ja-JP"/>
        </w:rPr>
        <w:t xml:space="preserve">The CDF of RSRP estimated at UE side under different SNR side conditions are shown in Figure 1 and Figure 2, for SCS of 15kHz and 30kHz respectively. The detailed simulation parameters are listed in the Appendix.   </w:t>
      </w:r>
      <w:r w:rsidR="006A0755">
        <w:rPr>
          <w:lang w:eastAsia="ja-JP"/>
        </w:rPr>
        <w:t xml:space="preserve">In the figures, the leftmost curve shows the RSRP would be estimated when the DRS samples is not transmitted. </w:t>
      </w:r>
      <w:r w:rsidR="009A201B">
        <w:rPr>
          <w:lang w:eastAsia="ja-JP"/>
        </w:rPr>
        <w:t xml:space="preserve">The </w:t>
      </w:r>
      <w:r w:rsidR="008A2AF1">
        <w:rPr>
          <w:lang w:eastAsia="ja-JP"/>
        </w:rPr>
        <w:t xml:space="preserve">RSRP overlapping region </w:t>
      </w:r>
      <w:r w:rsidR="00ED2FF1">
        <w:rPr>
          <w:lang w:eastAsia="ja-JP"/>
        </w:rPr>
        <w:t xml:space="preserve">of the leftmost curve and </w:t>
      </w:r>
      <w:r w:rsidR="008A2AF1">
        <w:rPr>
          <w:lang w:eastAsia="ja-JP"/>
        </w:rPr>
        <w:t xml:space="preserve">the </w:t>
      </w:r>
      <w:r w:rsidR="00ED2FF1">
        <w:rPr>
          <w:lang w:eastAsia="ja-JP"/>
        </w:rPr>
        <w:t>other curves</w:t>
      </w:r>
      <w:r w:rsidR="009A201B">
        <w:rPr>
          <w:lang w:eastAsia="ja-JP"/>
        </w:rPr>
        <w:t xml:space="preserve"> indicate how likely UE would </w:t>
      </w:r>
      <w:r w:rsidR="00152DE3">
        <w:rPr>
          <w:lang w:eastAsia="ja-JP"/>
        </w:rPr>
        <w:t xml:space="preserve">consider </w:t>
      </w:r>
      <w:r w:rsidR="009A201B">
        <w:rPr>
          <w:lang w:eastAsia="ja-JP"/>
        </w:rPr>
        <w:t>transmitted DRS sample</w:t>
      </w:r>
      <w:r w:rsidR="008A2AF1">
        <w:rPr>
          <w:lang w:eastAsia="ja-JP"/>
        </w:rPr>
        <w:t>s</w:t>
      </w:r>
      <w:r w:rsidR="009A201B">
        <w:rPr>
          <w:lang w:eastAsia="ja-JP"/>
        </w:rPr>
        <w:t xml:space="preserve"> as “not transmitted”.</w:t>
      </w:r>
      <w:r w:rsidR="00ED2FF1">
        <w:rPr>
          <w:lang w:eastAsia="ja-JP"/>
        </w:rPr>
        <w:t xml:space="preserve"> </w:t>
      </w:r>
      <w:r w:rsidR="009A201B">
        <w:rPr>
          <w:lang w:eastAsia="ja-JP"/>
        </w:rPr>
        <w:t xml:space="preserve"> </w:t>
      </w:r>
      <w:r w:rsidR="002E06D4">
        <w:rPr>
          <w:lang w:eastAsia="ja-JP"/>
        </w:rPr>
        <w:t xml:space="preserve"> </w:t>
      </w:r>
      <w:r w:rsidR="00F02AA2">
        <w:rPr>
          <w:lang w:eastAsia="ja-JP"/>
        </w:rPr>
        <w:t xml:space="preserve"> </w:t>
      </w:r>
      <w:r w:rsidR="00BD630F">
        <w:rPr>
          <w:lang w:eastAsia="ja-JP"/>
        </w:rPr>
        <w:t xml:space="preserve"> </w:t>
      </w:r>
      <w:r w:rsidR="007B4EC3">
        <w:rPr>
          <w:lang w:eastAsia="ja-JP"/>
        </w:rPr>
        <w:t xml:space="preserve"> </w:t>
      </w:r>
      <w:bookmarkStart w:id="3" w:name="_Ref20919622"/>
    </w:p>
    <w:p w:rsidR="00347772" w:rsidRDefault="00744094" w:rsidP="007E7E51">
      <w:pPr>
        <w:jc w:val="both"/>
        <w:rPr>
          <w:rFonts w:ascii="Calibri" w:eastAsia="SimSun" w:hAnsi="Calibri" w:cs="Arial"/>
          <w:b/>
          <w:bCs/>
        </w:rPr>
      </w:pPr>
      <w:r>
        <w:rPr>
          <w:rFonts w:ascii="Calibri" w:eastAsia="SimSun" w:hAnsi="Calibri" w:cs="Arial"/>
          <w:b/>
          <w:bCs/>
          <w:noProof/>
        </w:rPr>
        <w:drawing>
          <wp:inline distT="0" distB="0" distL="0" distR="0">
            <wp:extent cx="6116129" cy="3333834"/>
            <wp:effectExtent l="1905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58" cy="3337066"/>
                    </a:xfrm>
                    <a:prstGeom prst="rect">
                      <a:avLst/>
                    </a:prstGeom>
                    <a:noFill/>
                    <a:ln>
                      <a:noFill/>
                    </a:ln>
                  </pic:spPr>
                </pic:pic>
              </a:graphicData>
            </a:graphic>
          </wp:inline>
        </w:drawing>
      </w:r>
    </w:p>
    <w:p w:rsidR="00ED2FF1" w:rsidRPr="00ED2FF1" w:rsidRDefault="00ED2FF1" w:rsidP="00ED2FF1">
      <w:pPr>
        <w:pStyle w:val="af5"/>
        <w:ind w:left="360"/>
        <w:jc w:val="center"/>
      </w:pPr>
      <w:r w:rsidRPr="00ED2FF1">
        <w:rPr>
          <w:rFonts w:ascii="Calibri" w:eastAsia="SimSun" w:hAnsi="Calibri" w:cs="Arial"/>
          <w:bCs/>
        </w:rPr>
        <w:t xml:space="preserve">Figure </w:t>
      </w:r>
      <w:r w:rsidR="00E57A85" w:rsidRPr="00ED2FF1">
        <w:rPr>
          <w:rFonts w:ascii="Calibri" w:eastAsia="SimSun" w:hAnsi="Calibri" w:cs="Arial"/>
          <w:bCs/>
        </w:rPr>
        <w:fldChar w:fldCharType="begin"/>
      </w:r>
      <w:r w:rsidRPr="00ED2FF1">
        <w:rPr>
          <w:rFonts w:ascii="Calibri" w:eastAsia="SimSun" w:hAnsi="Calibri" w:cs="Arial"/>
          <w:bCs/>
        </w:rPr>
        <w:instrText xml:space="preserve"> SEQ Figure \* ARABIC </w:instrText>
      </w:r>
      <w:r w:rsidR="00E57A85" w:rsidRPr="00ED2FF1">
        <w:rPr>
          <w:rFonts w:ascii="Calibri" w:eastAsia="SimSun" w:hAnsi="Calibri" w:cs="Arial"/>
          <w:bCs/>
        </w:rPr>
        <w:fldChar w:fldCharType="separate"/>
      </w:r>
      <w:r w:rsidR="00B30138">
        <w:rPr>
          <w:rFonts w:ascii="Calibri" w:eastAsia="SimSun" w:hAnsi="Calibri" w:cs="Arial"/>
          <w:bCs/>
          <w:noProof/>
        </w:rPr>
        <w:t>1</w:t>
      </w:r>
      <w:r w:rsidR="00E57A85" w:rsidRPr="00ED2FF1">
        <w:rPr>
          <w:rFonts w:ascii="Calibri" w:eastAsia="SimSun" w:hAnsi="Calibri" w:cs="Arial"/>
          <w:bCs/>
        </w:rPr>
        <w:fldChar w:fldCharType="end"/>
      </w:r>
      <w:r w:rsidRPr="00ED2FF1">
        <w:rPr>
          <w:rFonts w:ascii="Calibri" w:eastAsia="SimSun" w:hAnsi="Calibri" w:cs="Arial"/>
          <w:bCs/>
        </w:rPr>
        <w:t xml:space="preserve">. </w:t>
      </w:r>
      <w:r w:rsidR="007C3EFF">
        <w:t xml:space="preserve">CDF of </w:t>
      </w:r>
      <w:r w:rsidR="007B21A0">
        <w:t>1-sample RSRSP estimation (TDL-C, SCS=15kHz)</w:t>
      </w:r>
      <w:r w:rsidRPr="00ED2FF1">
        <w:rPr>
          <w:lang w:val="en-GB"/>
        </w:rPr>
        <w:t>.</w:t>
      </w:r>
    </w:p>
    <w:p w:rsidR="00ED2FF1" w:rsidRDefault="00ED2FF1" w:rsidP="007E7E51">
      <w:pPr>
        <w:jc w:val="both"/>
        <w:rPr>
          <w:rFonts w:ascii="Calibri" w:eastAsia="SimSun" w:hAnsi="Calibri" w:cs="Arial"/>
          <w:b/>
          <w:bCs/>
        </w:rPr>
      </w:pPr>
    </w:p>
    <w:p w:rsidR="00DA30B7" w:rsidRDefault="00744094" w:rsidP="00DA30B7">
      <w:pPr>
        <w:jc w:val="both"/>
        <w:rPr>
          <w:lang w:eastAsia="ja-JP"/>
        </w:rPr>
      </w:pPr>
      <w:r>
        <w:rPr>
          <w:noProof/>
        </w:rPr>
        <w:drawing>
          <wp:inline distT="0" distB="0" distL="0" distR="0">
            <wp:extent cx="6113721" cy="3209528"/>
            <wp:effectExtent l="19050" t="0" r="1329"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5060" cy="3215481"/>
                    </a:xfrm>
                    <a:prstGeom prst="rect">
                      <a:avLst/>
                    </a:prstGeom>
                    <a:noFill/>
                    <a:ln>
                      <a:noFill/>
                    </a:ln>
                  </pic:spPr>
                </pic:pic>
              </a:graphicData>
            </a:graphic>
          </wp:inline>
        </w:drawing>
      </w:r>
    </w:p>
    <w:p w:rsidR="007B21A0" w:rsidRPr="00ED2FF1" w:rsidRDefault="007B21A0" w:rsidP="007B21A0">
      <w:pPr>
        <w:pStyle w:val="af5"/>
        <w:ind w:left="360"/>
        <w:jc w:val="center"/>
      </w:pPr>
      <w:r w:rsidRPr="00ED2FF1">
        <w:rPr>
          <w:rFonts w:ascii="Calibri" w:eastAsia="SimSun" w:hAnsi="Calibri" w:cs="Arial"/>
          <w:bCs/>
        </w:rPr>
        <w:t xml:space="preserve">Figure </w:t>
      </w:r>
      <w:r w:rsidR="00E57A85" w:rsidRPr="00ED2FF1">
        <w:rPr>
          <w:rFonts w:ascii="Calibri" w:eastAsia="SimSun" w:hAnsi="Calibri" w:cs="Arial"/>
          <w:bCs/>
        </w:rPr>
        <w:fldChar w:fldCharType="begin"/>
      </w:r>
      <w:r w:rsidRPr="00ED2FF1">
        <w:rPr>
          <w:rFonts w:ascii="Calibri" w:eastAsia="SimSun" w:hAnsi="Calibri" w:cs="Arial"/>
          <w:bCs/>
        </w:rPr>
        <w:instrText xml:space="preserve"> SEQ Figure \* ARABIC </w:instrText>
      </w:r>
      <w:r w:rsidR="00E57A85" w:rsidRPr="00ED2FF1">
        <w:rPr>
          <w:rFonts w:ascii="Calibri" w:eastAsia="SimSun" w:hAnsi="Calibri" w:cs="Arial"/>
          <w:bCs/>
        </w:rPr>
        <w:fldChar w:fldCharType="separate"/>
      </w:r>
      <w:r w:rsidR="00B30138">
        <w:rPr>
          <w:rFonts w:ascii="Calibri" w:eastAsia="SimSun" w:hAnsi="Calibri" w:cs="Arial"/>
          <w:bCs/>
          <w:noProof/>
        </w:rPr>
        <w:t>2</w:t>
      </w:r>
      <w:r w:rsidR="00E57A85" w:rsidRPr="00ED2FF1">
        <w:rPr>
          <w:rFonts w:ascii="Calibri" w:eastAsia="SimSun" w:hAnsi="Calibri" w:cs="Arial"/>
          <w:bCs/>
        </w:rPr>
        <w:fldChar w:fldCharType="end"/>
      </w:r>
      <w:r w:rsidRPr="00ED2FF1">
        <w:rPr>
          <w:rFonts w:ascii="Calibri" w:eastAsia="SimSun" w:hAnsi="Calibri" w:cs="Arial"/>
          <w:bCs/>
        </w:rPr>
        <w:t xml:space="preserve">. </w:t>
      </w:r>
      <w:r>
        <w:t>CDF of 1-sample RSRSP estimation (TDL-C, SCS=30kHz)</w:t>
      </w:r>
      <w:r w:rsidRPr="00ED2FF1">
        <w:rPr>
          <w:lang w:val="en-GB"/>
        </w:rPr>
        <w:t>.</w:t>
      </w:r>
    </w:p>
    <w:p w:rsidR="006A0755" w:rsidRDefault="006A0755" w:rsidP="0054497E">
      <w:pPr>
        <w:jc w:val="both"/>
        <w:rPr>
          <w:rFonts w:ascii="Calibri" w:eastAsia="SimSun" w:hAnsi="Calibri" w:cs="Arial"/>
          <w:b/>
          <w:bCs/>
        </w:rPr>
      </w:pPr>
    </w:p>
    <w:p w:rsidR="00CC65B8" w:rsidRDefault="00C26AAC" w:rsidP="0054497E">
      <w:pPr>
        <w:jc w:val="both"/>
        <w:rPr>
          <w:lang w:eastAsia="ja-JP"/>
        </w:rPr>
      </w:pPr>
      <w:r>
        <w:rPr>
          <w:lang w:eastAsia="ja-JP"/>
        </w:rPr>
        <w:t>Table 1 summarizes the mis</w:t>
      </w:r>
      <w:r w:rsidR="009866BE">
        <w:rPr>
          <w:lang w:eastAsia="ja-JP"/>
        </w:rPr>
        <w:t>-</w:t>
      </w:r>
      <w:r>
        <w:rPr>
          <w:lang w:eastAsia="ja-JP"/>
        </w:rPr>
        <w:t>detection rate under different SNR side conditions, w</w:t>
      </w:r>
      <w:r w:rsidR="0054497E">
        <w:rPr>
          <w:lang w:eastAsia="ja-JP"/>
        </w:rPr>
        <w:t>herein the mis-detect</w:t>
      </w:r>
      <w:r w:rsidR="008A2AF1">
        <w:rPr>
          <w:lang w:eastAsia="ja-JP"/>
        </w:rPr>
        <w:t xml:space="preserve">ion rate </w:t>
      </w:r>
      <w:r w:rsidR="0054497E">
        <w:rPr>
          <w:lang w:eastAsia="ja-JP"/>
        </w:rPr>
        <w:t>is defined as the probab</w:t>
      </w:r>
      <w:r w:rsidR="008A2AF1">
        <w:rPr>
          <w:lang w:eastAsia="ja-JP"/>
        </w:rPr>
        <w:t xml:space="preserve">ility of the detected RSRP of </w:t>
      </w:r>
      <w:r w:rsidR="0054497E">
        <w:rPr>
          <w:lang w:eastAsia="ja-JP"/>
        </w:rPr>
        <w:t>transmitted SSB below the 95%-tile</w:t>
      </w:r>
      <w:r w:rsidR="008A2AF1">
        <w:rPr>
          <w:lang w:eastAsia="ja-JP"/>
        </w:rPr>
        <w:t xml:space="preserve"> CDF</w:t>
      </w:r>
      <w:r w:rsidR="0054497E">
        <w:rPr>
          <w:lang w:eastAsia="ja-JP"/>
        </w:rPr>
        <w:t xml:space="preserve"> of the detected RSRP when SSB is not transmitted. </w:t>
      </w:r>
    </w:p>
    <w:p w:rsidR="008A2AF1" w:rsidRPr="00CC65B8" w:rsidRDefault="008A2AF1" w:rsidP="0054497E">
      <w:pPr>
        <w:jc w:val="both"/>
        <w:rPr>
          <w:lang w:eastAsia="ja-JP"/>
        </w:rPr>
      </w:pPr>
    </w:p>
    <w:p w:rsidR="0054497E" w:rsidRDefault="0054497E" w:rsidP="005B7C53">
      <w:pPr>
        <w:spacing w:after="0" w:line="240" w:lineRule="auto"/>
        <w:jc w:val="center"/>
        <w:rPr>
          <w:lang w:val="en-GB" w:eastAsia="en-US"/>
        </w:rPr>
      </w:pPr>
      <w:r>
        <w:rPr>
          <w:lang w:val="en-GB" w:eastAsia="en-US"/>
        </w:rPr>
        <w:t xml:space="preserve">Table 1: </w:t>
      </w:r>
      <w:r w:rsidR="009866BE">
        <w:rPr>
          <w:lang w:eastAsia="ja-JP"/>
        </w:rPr>
        <w:t>M</w:t>
      </w:r>
      <w:r>
        <w:rPr>
          <w:lang w:eastAsia="ja-JP"/>
        </w:rPr>
        <w:t>is</w:t>
      </w:r>
      <w:r w:rsidR="009866BE">
        <w:rPr>
          <w:lang w:eastAsia="ja-JP"/>
        </w:rPr>
        <w:t>-</w:t>
      </w:r>
      <w:r>
        <w:rPr>
          <w:lang w:eastAsia="ja-JP"/>
        </w:rPr>
        <w:t>detection rate on the presence of a SSB, under fading channel used in R15 RLM test case.</w:t>
      </w:r>
    </w:p>
    <w:p w:rsidR="005B7C53" w:rsidRPr="00DA30B7" w:rsidRDefault="005B7C53" w:rsidP="005B7C53">
      <w:pPr>
        <w:spacing w:after="0" w:line="240" w:lineRule="auto"/>
        <w:jc w:val="center"/>
        <w:rPr>
          <w:lang w:val="en-GB" w:eastAsia="en-US"/>
        </w:rPr>
      </w:pPr>
    </w:p>
    <w:tbl>
      <w:tblPr>
        <w:tblW w:w="4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56"/>
        <w:gridCol w:w="1432"/>
        <w:gridCol w:w="1559"/>
      </w:tblGrid>
      <w:tr w:rsidR="00E548E7" w:rsidRPr="00123998" w:rsidTr="00601DA0">
        <w:trPr>
          <w:trHeight w:val="584"/>
          <w:jc w:val="center"/>
        </w:trPr>
        <w:tc>
          <w:tcPr>
            <w:tcW w:w="1156" w:type="dxa"/>
            <w:shd w:val="clear" w:color="auto" w:fill="auto"/>
            <w:tcMar>
              <w:top w:w="72" w:type="dxa"/>
              <w:left w:w="144" w:type="dxa"/>
              <w:bottom w:w="72" w:type="dxa"/>
              <w:right w:w="144" w:type="dxa"/>
            </w:tcMar>
            <w:hideMark/>
          </w:tcPr>
          <w:p w:rsidR="00E548E7" w:rsidRPr="00123998" w:rsidRDefault="00E548E7" w:rsidP="00F81571">
            <w:pPr>
              <w:rPr>
                <w:lang w:eastAsia="en-US"/>
              </w:rPr>
            </w:pPr>
            <w:r>
              <w:rPr>
                <w:b/>
                <w:bCs/>
                <w:lang w:val="sv-SE" w:eastAsia="en-US"/>
              </w:rPr>
              <w:t>SNR side condition</w:t>
            </w:r>
          </w:p>
        </w:tc>
        <w:tc>
          <w:tcPr>
            <w:tcW w:w="2991" w:type="dxa"/>
            <w:gridSpan w:val="2"/>
            <w:shd w:val="clear" w:color="auto" w:fill="auto"/>
            <w:tcMar>
              <w:top w:w="72" w:type="dxa"/>
              <w:left w:w="144" w:type="dxa"/>
              <w:bottom w:w="72" w:type="dxa"/>
              <w:right w:w="144" w:type="dxa"/>
            </w:tcMar>
            <w:hideMark/>
          </w:tcPr>
          <w:p w:rsidR="00E548E7" w:rsidRDefault="00E548E7" w:rsidP="00F81571">
            <w:pPr>
              <w:rPr>
                <w:b/>
                <w:bCs/>
                <w:lang w:val="sv-SE" w:eastAsia="en-US"/>
              </w:rPr>
            </w:pPr>
            <w:r>
              <w:rPr>
                <w:b/>
                <w:bCs/>
                <w:lang w:val="sv-SE" w:eastAsia="en-US"/>
              </w:rPr>
              <w:t>Mis</w:t>
            </w:r>
            <w:r w:rsidR="00185375">
              <w:rPr>
                <w:b/>
                <w:bCs/>
                <w:lang w:val="sv-SE" w:eastAsia="en-US"/>
              </w:rPr>
              <w:t>-</w:t>
            </w:r>
            <w:r>
              <w:rPr>
                <w:b/>
                <w:bCs/>
                <w:lang w:val="sv-SE" w:eastAsia="en-US"/>
              </w:rPr>
              <w:t>detction rate</w:t>
            </w:r>
          </w:p>
        </w:tc>
      </w:tr>
      <w:tr w:rsidR="00E548E7" w:rsidRPr="00123998" w:rsidTr="00601DA0">
        <w:trPr>
          <w:trHeight w:val="149"/>
          <w:jc w:val="center"/>
        </w:trPr>
        <w:tc>
          <w:tcPr>
            <w:tcW w:w="1156" w:type="dxa"/>
            <w:shd w:val="clear" w:color="auto" w:fill="auto"/>
            <w:tcMar>
              <w:top w:w="72" w:type="dxa"/>
              <w:left w:w="144" w:type="dxa"/>
              <w:bottom w:w="72" w:type="dxa"/>
              <w:right w:w="144" w:type="dxa"/>
            </w:tcMar>
          </w:tcPr>
          <w:p w:rsidR="00E548E7" w:rsidRPr="00123998" w:rsidRDefault="00E548E7" w:rsidP="00F81571">
            <w:pPr>
              <w:rPr>
                <w:lang w:eastAsia="en-US"/>
              </w:rPr>
            </w:pPr>
          </w:p>
        </w:tc>
        <w:tc>
          <w:tcPr>
            <w:tcW w:w="1432" w:type="dxa"/>
            <w:shd w:val="clear" w:color="auto" w:fill="auto"/>
            <w:tcMar>
              <w:top w:w="72" w:type="dxa"/>
              <w:left w:w="144" w:type="dxa"/>
              <w:bottom w:w="72" w:type="dxa"/>
              <w:right w:w="144" w:type="dxa"/>
            </w:tcMar>
          </w:tcPr>
          <w:p w:rsidR="00E548E7" w:rsidRPr="00123998" w:rsidRDefault="00E548E7" w:rsidP="00F81571">
            <w:pPr>
              <w:rPr>
                <w:lang w:eastAsia="en-US"/>
              </w:rPr>
            </w:pPr>
            <w:r>
              <w:rPr>
                <w:lang w:eastAsia="en-US"/>
              </w:rPr>
              <w:t>SCS = 15 kHz</w:t>
            </w:r>
          </w:p>
        </w:tc>
        <w:tc>
          <w:tcPr>
            <w:tcW w:w="1559" w:type="dxa"/>
            <w:shd w:val="clear" w:color="auto" w:fill="auto"/>
          </w:tcPr>
          <w:p w:rsidR="00E548E7" w:rsidRPr="00123998" w:rsidRDefault="00185375" w:rsidP="00F81571">
            <w:pPr>
              <w:rPr>
                <w:lang w:eastAsia="en-US"/>
              </w:rPr>
            </w:pPr>
            <w:r>
              <w:rPr>
                <w:lang w:eastAsia="en-US"/>
              </w:rPr>
              <w:t xml:space="preserve"> </w:t>
            </w:r>
            <w:r w:rsidR="00E548E7">
              <w:rPr>
                <w:lang w:eastAsia="en-US"/>
              </w:rPr>
              <w:t>SCS = 30 kHz</w:t>
            </w:r>
          </w:p>
        </w:tc>
      </w:tr>
      <w:tr w:rsidR="00E548E7" w:rsidRPr="00123998" w:rsidTr="00601DA0">
        <w:trPr>
          <w:trHeight w:val="25"/>
          <w:jc w:val="center"/>
        </w:trPr>
        <w:tc>
          <w:tcPr>
            <w:tcW w:w="1156" w:type="dxa"/>
            <w:shd w:val="clear" w:color="auto" w:fill="auto"/>
            <w:tcMar>
              <w:top w:w="72" w:type="dxa"/>
              <w:left w:w="144" w:type="dxa"/>
              <w:bottom w:w="72" w:type="dxa"/>
              <w:right w:w="144" w:type="dxa"/>
            </w:tcMar>
          </w:tcPr>
          <w:p w:rsidR="00E548E7" w:rsidRPr="00123998" w:rsidRDefault="00185375" w:rsidP="00F81571">
            <w:pPr>
              <w:rPr>
                <w:lang w:eastAsia="en-US"/>
              </w:rPr>
            </w:pPr>
            <w:r>
              <w:rPr>
                <w:lang w:eastAsia="en-US"/>
              </w:rPr>
              <w:t>0dB</w:t>
            </w:r>
          </w:p>
        </w:tc>
        <w:tc>
          <w:tcPr>
            <w:tcW w:w="1432" w:type="dxa"/>
            <w:shd w:val="clear" w:color="auto" w:fill="auto"/>
            <w:tcMar>
              <w:top w:w="72" w:type="dxa"/>
              <w:left w:w="144" w:type="dxa"/>
              <w:bottom w:w="72" w:type="dxa"/>
              <w:right w:w="144" w:type="dxa"/>
            </w:tcMar>
          </w:tcPr>
          <w:p w:rsidR="00E548E7" w:rsidRPr="00123998" w:rsidRDefault="00BB029C" w:rsidP="00F81571">
            <w:pPr>
              <w:rPr>
                <w:lang w:eastAsia="en-US"/>
              </w:rPr>
            </w:pPr>
            <w:r>
              <w:rPr>
                <w:lang w:eastAsia="en-US"/>
              </w:rPr>
              <w:t>0.2%</w:t>
            </w:r>
          </w:p>
        </w:tc>
        <w:tc>
          <w:tcPr>
            <w:tcW w:w="1559" w:type="dxa"/>
            <w:shd w:val="clear" w:color="auto" w:fill="auto"/>
          </w:tcPr>
          <w:p w:rsidR="00E548E7" w:rsidRPr="00123998" w:rsidRDefault="001656BD" w:rsidP="00F81571">
            <w:pPr>
              <w:rPr>
                <w:lang w:eastAsia="en-US"/>
              </w:rPr>
            </w:pPr>
            <w:r>
              <w:rPr>
                <w:lang w:eastAsia="en-US"/>
              </w:rPr>
              <w:t xml:space="preserve"> 0.2%</w:t>
            </w:r>
          </w:p>
        </w:tc>
      </w:tr>
      <w:tr w:rsidR="00E548E7" w:rsidRPr="00123998" w:rsidTr="00601DA0">
        <w:trPr>
          <w:trHeight w:val="25"/>
          <w:jc w:val="center"/>
        </w:trPr>
        <w:tc>
          <w:tcPr>
            <w:tcW w:w="1156" w:type="dxa"/>
            <w:shd w:val="clear" w:color="auto" w:fill="auto"/>
            <w:tcMar>
              <w:top w:w="72" w:type="dxa"/>
              <w:left w:w="144" w:type="dxa"/>
              <w:bottom w:w="72" w:type="dxa"/>
              <w:right w:w="144" w:type="dxa"/>
            </w:tcMar>
          </w:tcPr>
          <w:p w:rsidR="00E548E7" w:rsidRDefault="00185375" w:rsidP="00F81571">
            <w:pPr>
              <w:rPr>
                <w:lang w:val="sv-SE" w:eastAsia="en-US"/>
              </w:rPr>
            </w:pPr>
            <w:r>
              <w:rPr>
                <w:lang w:val="sv-SE" w:eastAsia="en-US"/>
              </w:rPr>
              <w:t>-5dB</w:t>
            </w:r>
          </w:p>
        </w:tc>
        <w:tc>
          <w:tcPr>
            <w:tcW w:w="1432" w:type="dxa"/>
            <w:shd w:val="clear" w:color="auto" w:fill="auto"/>
            <w:tcMar>
              <w:top w:w="72" w:type="dxa"/>
              <w:left w:w="144" w:type="dxa"/>
              <w:bottom w:w="72" w:type="dxa"/>
              <w:right w:w="144" w:type="dxa"/>
            </w:tcMar>
          </w:tcPr>
          <w:p w:rsidR="00E548E7" w:rsidRPr="00123998" w:rsidRDefault="00BB029C" w:rsidP="00F81571">
            <w:pPr>
              <w:rPr>
                <w:lang w:val="sv-SE" w:eastAsia="en-US"/>
              </w:rPr>
            </w:pPr>
            <w:r>
              <w:rPr>
                <w:lang w:val="sv-SE" w:eastAsia="en-US"/>
              </w:rPr>
              <w:t>7.3%</w:t>
            </w:r>
          </w:p>
        </w:tc>
        <w:tc>
          <w:tcPr>
            <w:tcW w:w="1559" w:type="dxa"/>
            <w:shd w:val="clear" w:color="auto" w:fill="auto"/>
          </w:tcPr>
          <w:p w:rsidR="00E548E7" w:rsidRPr="00123998" w:rsidRDefault="001656BD" w:rsidP="00F81571">
            <w:pPr>
              <w:rPr>
                <w:lang w:val="sv-SE" w:eastAsia="en-US"/>
              </w:rPr>
            </w:pPr>
            <w:r>
              <w:rPr>
                <w:lang w:val="sv-SE" w:eastAsia="en-US"/>
              </w:rPr>
              <w:t xml:space="preserve"> 7.4% </w:t>
            </w:r>
          </w:p>
        </w:tc>
      </w:tr>
      <w:tr w:rsidR="00E548E7" w:rsidRPr="00123998" w:rsidTr="00601DA0">
        <w:trPr>
          <w:trHeight w:val="25"/>
          <w:jc w:val="center"/>
        </w:trPr>
        <w:tc>
          <w:tcPr>
            <w:tcW w:w="1156" w:type="dxa"/>
            <w:shd w:val="clear" w:color="auto" w:fill="auto"/>
            <w:tcMar>
              <w:top w:w="72" w:type="dxa"/>
              <w:left w:w="144" w:type="dxa"/>
              <w:bottom w:w="72" w:type="dxa"/>
              <w:right w:w="144" w:type="dxa"/>
            </w:tcMar>
          </w:tcPr>
          <w:p w:rsidR="00E548E7" w:rsidRDefault="00185375" w:rsidP="00F81571">
            <w:pPr>
              <w:rPr>
                <w:lang w:val="sv-SE" w:eastAsia="en-US"/>
              </w:rPr>
            </w:pPr>
            <w:r>
              <w:rPr>
                <w:lang w:val="sv-SE" w:eastAsia="en-US"/>
              </w:rPr>
              <w:t>-10dB</w:t>
            </w:r>
          </w:p>
        </w:tc>
        <w:tc>
          <w:tcPr>
            <w:tcW w:w="1432" w:type="dxa"/>
            <w:shd w:val="clear" w:color="auto" w:fill="auto"/>
            <w:tcMar>
              <w:top w:w="72" w:type="dxa"/>
              <w:left w:w="144" w:type="dxa"/>
              <w:bottom w:w="72" w:type="dxa"/>
              <w:right w:w="144" w:type="dxa"/>
            </w:tcMar>
          </w:tcPr>
          <w:p w:rsidR="00E548E7" w:rsidRPr="00123998" w:rsidRDefault="00BB029C" w:rsidP="00F81571">
            <w:pPr>
              <w:rPr>
                <w:lang w:val="sv-SE" w:eastAsia="en-US"/>
              </w:rPr>
            </w:pPr>
            <w:r>
              <w:rPr>
                <w:lang w:val="sv-SE" w:eastAsia="en-US"/>
              </w:rPr>
              <w:t>53.6%</w:t>
            </w:r>
          </w:p>
        </w:tc>
        <w:tc>
          <w:tcPr>
            <w:tcW w:w="1559" w:type="dxa"/>
            <w:shd w:val="clear" w:color="auto" w:fill="auto"/>
          </w:tcPr>
          <w:p w:rsidR="00E548E7" w:rsidRPr="00123998" w:rsidRDefault="001656BD" w:rsidP="00F81571">
            <w:pPr>
              <w:rPr>
                <w:lang w:val="sv-SE" w:eastAsia="en-US"/>
              </w:rPr>
            </w:pPr>
            <w:r>
              <w:rPr>
                <w:lang w:val="sv-SE" w:eastAsia="en-US"/>
              </w:rPr>
              <w:t xml:space="preserve"> 53.6%</w:t>
            </w:r>
          </w:p>
        </w:tc>
      </w:tr>
      <w:tr w:rsidR="00E548E7" w:rsidRPr="00123998" w:rsidTr="00601DA0">
        <w:trPr>
          <w:trHeight w:val="25"/>
          <w:jc w:val="center"/>
        </w:trPr>
        <w:tc>
          <w:tcPr>
            <w:tcW w:w="1156" w:type="dxa"/>
            <w:shd w:val="clear" w:color="auto" w:fill="auto"/>
            <w:tcMar>
              <w:top w:w="72" w:type="dxa"/>
              <w:left w:w="144" w:type="dxa"/>
              <w:bottom w:w="72" w:type="dxa"/>
              <w:right w:w="144" w:type="dxa"/>
            </w:tcMar>
          </w:tcPr>
          <w:p w:rsidR="00E548E7" w:rsidRDefault="00185375" w:rsidP="00F81571">
            <w:pPr>
              <w:rPr>
                <w:lang w:val="sv-SE" w:eastAsia="en-US"/>
              </w:rPr>
            </w:pPr>
            <w:r>
              <w:rPr>
                <w:lang w:val="sv-SE" w:eastAsia="en-US"/>
              </w:rPr>
              <w:t>-12dB</w:t>
            </w:r>
          </w:p>
        </w:tc>
        <w:tc>
          <w:tcPr>
            <w:tcW w:w="1432" w:type="dxa"/>
            <w:shd w:val="clear" w:color="auto" w:fill="auto"/>
            <w:tcMar>
              <w:top w:w="72" w:type="dxa"/>
              <w:left w:w="144" w:type="dxa"/>
              <w:bottom w:w="72" w:type="dxa"/>
              <w:right w:w="144" w:type="dxa"/>
            </w:tcMar>
          </w:tcPr>
          <w:p w:rsidR="00E548E7" w:rsidRPr="00123998" w:rsidRDefault="00BB029C" w:rsidP="00F81571">
            <w:pPr>
              <w:rPr>
                <w:lang w:val="sv-SE" w:eastAsia="en-US"/>
              </w:rPr>
            </w:pPr>
            <w:r>
              <w:rPr>
                <w:lang w:val="sv-SE" w:eastAsia="en-US"/>
              </w:rPr>
              <w:t>69.9%</w:t>
            </w:r>
          </w:p>
        </w:tc>
        <w:tc>
          <w:tcPr>
            <w:tcW w:w="1559" w:type="dxa"/>
            <w:shd w:val="clear" w:color="auto" w:fill="auto"/>
          </w:tcPr>
          <w:p w:rsidR="00E548E7" w:rsidRPr="00123998" w:rsidRDefault="001656BD" w:rsidP="00F81571">
            <w:pPr>
              <w:rPr>
                <w:lang w:val="sv-SE" w:eastAsia="en-US"/>
              </w:rPr>
            </w:pPr>
            <w:r>
              <w:rPr>
                <w:lang w:val="sv-SE" w:eastAsia="en-US"/>
              </w:rPr>
              <w:t xml:space="preserve"> 72.5%</w:t>
            </w:r>
          </w:p>
        </w:tc>
      </w:tr>
      <w:tr w:rsidR="00185375" w:rsidRPr="00123998" w:rsidTr="00601DA0">
        <w:trPr>
          <w:trHeight w:val="25"/>
          <w:jc w:val="center"/>
        </w:trPr>
        <w:tc>
          <w:tcPr>
            <w:tcW w:w="1156" w:type="dxa"/>
            <w:shd w:val="clear" w:color="auto" w:fill="auto"/>
            <w:tcMar>
              <w:top w:w="72" w:type="dxa"/>
              <w:left w:w="144" w:type="dxa"/>
              <w:bottom w:w="72" w:type="dxa"/>
              <w:right w:w="144" w:type="dxa"/>
            </w:tcMar>
          </w:tcPr>
          <w:p w:rsidR="00185375" w:rsidRDefault="00185375" w:rsidP="00F81571">
            <w:pPr>
              <w:rPr>
                <w:lang w:val="sv-SE" w:eastAsia="en-US"/>
              </w:rPr>
            </w:pPr>
            <w:r>
              <w:rPr>
                <w:lang w:val="sv-SE" w:eastAsia="en-US"/>
              </w:rPr>
              <w:t>-15dB</w:t>
            </w:r>
          </w:p>
        </w:tc>
        <w:tc>
          <w:tcPr>
            <w:tcW w:w="1432" w:type="dxa"/>
            <w:shd w:val="clear" w:color="auto" w:fill="auto"/>
            <w:tcMar>
              <w:top w:w="72" w:type="dxa"/>
              <w:left w:w="144" w:type="dxa"/>
              <w:bottom w:w="72" w:type="dxa"/>
              <w:right w:w="144" w:type="dxa"/>
            </w:tcMar>
          </w:tcPr>
          <w:p w:rsidR="00185375" w:rsidRPr="00123998" w:rsidRDefault="00BB029C" w:rsidP="00F81571">
            <w:pPr>
              <w:rPr>
                <w:lang w:val="sv-SE" w:eastAsia="en-US"/>
              </w:rPr>
            </w:pPr>
            <w:r>
              <w:rPr>
                <w:lang w:eastAsia="en-US"/>
              </w:rPr>
              <w:t>85.7%</w:t>
            </w:r>
          </w:p>
        </w:tc>
        <w:tc>
          <w:tcPr>
            <w:tcW w:w="1559" w:type="dxa"/>
            <w:shd w:val="clear" w:color="auto" w:fill="auto"/>
          </w:tcPr>
          <w:p w:rsidR="00185375" w:rsidRPr="00123998" w:rsidRDefault="001656BD" w:rsidP="00F81571">
            <w:pPr>
              <w:rPr>
                <w:lang w:val="sv-SE" w:eastAsia="en-US"/>
              </w:rPr>
            </w:pPr>
            <w:r>
              <w:rPr>
                <w:lang w:val="sv-SE" w:eastAsia="en-US"/>
              </w:rPr>
              <w:t xml:space="preserve"> 86.0%</w:t>
            </w:r>
          </w:p>
        </w:tc>
      </w:tr>
    </w:tbl>
    <w:p w:rsidR="0054497E" w:rsidRDefault="0054497E" w:rsidP="0054497E">
      <w:pPr>
        <w:jc w:val="both"/>
        <w:rPr>
          <w:rFonts w:ascii="Calibri" w:eastAsia="SimSun" w:hAnsi="Calibri" w:cs="Arial"/>
          <w:bCs/>
        </w:rPr>
      </w:pPr>
    </w:p>
    <w:p w:rsidR="00FD6B9F" w:rsidRDefault="00FD6B9F" w:rsidP="0054497E">
      <w:pPr>
        <w:jc w:val="both"/>
        <w:rPr>
          <w:lang w:eastAsia="ja-JP"/>
        </w:rPr>
      </w:pPr>
      <w:r>
        <w:rPr>
          <w:lang w:eastAsia="ja-JP"/>
        </w:rPr>
        <w:t xml:space="preserve">Based on above analysis, the reliability of this kind of detection is questionable.  </w:t>
      </w:r>
    </w:p>
    <w:p w:rsidR="00FD6B9F" w:rsidRDefault="00AF3105" w:rsidP="00592EA6">
      <w:pPr>
        <w:pStyle w:val="af5"/>
        <w:numPr>
          <w:ilvl w:val="0"/>
          <w:numId w:val="50"/>
        </w:numPr>
        <w:jc w:val="both"/>
        <w:rPr>
          <w:lang w:eastAsia="ja-JP"/>
        </w:rPr>
      </w:pPr>
      <w:r>
        <w:rPr>
          <w:lang w:eastAsia="ja-JP"/>
        </w:rPr>
        <w:lastRenderedPageBreak/>
        <w:t>W</w:t>
      </w:r>
      <w:r w:rsidR="00CC65B8">
        <w:rPr>
          <w:lang w:eastAsia="ja-JP"/>
        </w:rPr>
        <w:t>hen SNR</w:t>
      </w:r>
      <w:r w:rsidR="008A2AF1">
        <w:rPr>
          <w:lang w:eastAsia="ja-JP"/>
        </w:rPr>
        <w:t xml:space="preserve"> is</w:t>
      </w:r>
      <w:r w:rsidR="00CC65B8">
        <w:rPr>
          <w:lang w:eastAsia="ja-JP"/>
        </w:rPr>
        <w:t xml:space="preserve"> below -10dB, it will lead </w:t>
      </w:r>
      <w:r w:rsidR="00592EA6">
        <w:rPr>
          <w:lang w:eastAsia="ja-JP"/>
        </w:rPr>
        <w:t xml:space="preserve">to </w:t>
      </w:r>
      <w:r w:rsidR="00CC65B8">
        <w:rPr>
          <w:lang w:eastAsia="ja-JP"/>
        </w:rPr>
        <w:t xml:space="preserve">high probability (&gt;50%) that UE would consider a SSB as “not </w:t>
      </w:r>
      <w:r w:rsidR="00C42EEF">
        <w:rPr>
          <w:lang w:eastAsia="ja-JP"/>
        </w:rPr>
        <w:t>transmitted”. Therefore</w:t>
      </w:r>
      <w:r w:rsidR="00FD6B9F">
        <w:rPr>
          <w:lang w:eastAsia="ja-JP"/>
        </w:rPr>
        <w:t xml:space="preserve"> UE </w:t>
      </w:r>
      <w:r>
        <w:rPr>
          <w:lang w:eastAsia="ja-JP"/>
        </w:rPr>
        <w:t xml:space="preserve">is very likely to keep </w:t>
      </w:r>
      <w:r w:rsidR="00FD6B9F">
        <w:rPr>
          <w:lang w:eastAsia="ja-JP"/>
        </w:rPr>
        <w:t>extend</w:t>
      </w:r>
      <w:r>
        <w:rPr>
          <w:lang w:eastAsia="ja-JP"/>
        </w:rPr>
        <w:t>ing</w:t>
      </w:r>
      <w:r w:rsidR="00FD6B9F">
        <w:rPr>
          <w:lang w:eastAsia="ja-JP"/>
        </w:rPr>
        <w:t xml:space="preserve"> the </w:t>
      </w:r>
      <w:r w:rsidR="00CC65B8">
        <w:rPr>
          <w:lang w:eastAsia="ja-JP"/>
        </w:rPr>
        <w:t xml:space="preserve">corresponding measurement/evaluation period. </w:t>
      </w:r>
    </w:p>
    <w:p w:rsidR="00AF3105" w:rsidRDefault="00AF3105" w:rsidP="00592EA6">
      <w:pPr>
        <w:pStyle w:val="af5"/>
        <w:numPr>
          <w:ilvl w:val="0"/>
          <w:numId w:val="50"/>
        </w:numPr>
        <w:jc w:val="both"/>
        <w:rPr>
          <w:lang w:eastAsia="ja-JP"/>
        </w:rPr>
      </w:pPr>
      <w:r>
        <w:rPr>
          <w:lang w:eastAsia="ja-JP"/>
        </w:rPr>
        <w:t>W</w:t>
      </w:r>
      <w:r w:rsidR="00CC65B8">
        <w:rPr>
          <w:lang w:eastAsia="ja-JP"/>
        </w:rPr>
        <w:t xml:space="preserve">hen the SNR above a certain level (e.g. </w:t>
      </w:r>
      <w:r>
        <w:rPr>
          <w:lang w:eastAsia="ja-JP"/>
        </w:rPr>
        <w:t>[</w:t>
      </w:r>
      <w:r w:rsidR="00CC65B8">
        <w:rPr>
          <w:lang w:eastAsia="ja-JP"/>
        </w:rPr>
        <w:t>-5</w:t>
      </w:r>
      <w:r>
        <w:rPr>
          <w:lang w:eastAsia="ja-JP"/>
        </w:rPr>
        <w:t>]</w:t>
      </w:r>
      <w:r w:rsidR="00CC65B8">
        <w:rPr>
          <w:lang w:eastAsia="ja-JP"/>
        </w:rPr>
        <w:t xml:space="preserve">dB), UE </w:t>
      </w:r>
      <w:r>
        <w:rPr>
          <w:lang w:eastAsia="ja-JP"/>
        </w:rPr>
        <w:t xml:space="preserve">may </w:t>
      </w:r>
      <w:r w:rsidR="00CC65B8">
        <w:rPr>
          <w:lang w:eastAsia="ja-JP"/>
        </w:rPr>
        <w:t xml:space="preserve">be able to detect the present of SSB. </w:t>
      </w:r>
    </w:p>
    <w:p w:rsidR="00CC65B8" w:rsidRPr="002348F3" w:rsidRDefault="00AF3105" w:rsidP="00AF3105">
      <w:pPr>
        <w:jc w:val="both"/>
        <w:rPr>
          <w:lang w:eastAsia="ja-JP"/>
        </w:rPr>
      </w:pPr>
      <w:r>
        <w:rPr>
          <w:lang w:eastAsia="ja-JP"/>
        </w:rPr>
        <w:t>Note that above evaluation is based on one single cell. In other words, if BS does not transmit SSB, the estimated RSRP is purely contributed by noise. I</w:t>
      </w:r>
      <w:r w:rsidR="00CC65B8">
        <w:rPr>
          <w:lang w:eastAsia="ja-JP"/>
        </w:rPr>
        <w:t xml:space="preserve">f the multi-cell scenario is considered, </w:t>
      </w:r>
      <w:r>
        <w:rPr>
          <w:lang w:eastAsia="ja-JP"/>
        </w:rPr>
        <w:t xml:space="preserve">there could be still a neighboring cell which is transmitting SSB when UE’s serving cell fails LBT. In this case, </w:t>
      </w:r>
      <w:r w:rsidR="00CC65B8">
        <w:rPr>
          <w:lang w:eastAsia="ja-JP"/>
        </w:rPr>
        <w:t>the es</w:t>
      </w:r>
      <w:r w:rsidR="008A2AF1">
        <w:rPr>
          <w:lang w:eastAsia="ja-JP"/>
        </w:rPr>
        <w:t>timated RSRP for the case of SSB</w:t>
      </w:r>
      <w:r w:rsidR="00CC65B8">
        <w:rPr>
          <w:lang w:eastAsia="ja-JP"/>
        </w:rPr>
        <w:t xml:space="preserve"> not transmitted would go higher, since the interference from other cells would be received and introduce additional estimation errors.</w:t>
      </w:r>
    </w:p>
    <w:p w:rsidR="007F1576" w:rsidRDefault="007F1576" w:rsidP="007F1576">
      <w:pPr>
        <w:jc w:val="both"/>
        <w:rPr>
          <w:b/>
        </w:rPr>
      </w:pPr>
      <w:bookmarkStart w:id="4" w:name="_Ref21077807"/>
      <w:r w:rsidRPr="007D339C">
        <w:rPr>
          <w:rFonts w:ascii="Calibri" w:eastAsia="SimSun" w:hAnsi="Calibri" w:cs="Arial"/>
          <w:b/>
          <w:bCs/>
        </w:rPr>
        <w:t xml:space="preserve">Observation </w:t>
      </w:r>
      <w:r w:rsidR="00E57A85"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00E57A85" w:rsidRPr="007D339C">
        <w:rPr>
          <w:rFonts w:ascii="Calibri" w:eastAsia="SimSun" w:hAnsi="Calibri" w:cs="Arial"/>
          <w:b/>
          <w:bCs/>
        </w:rPr>
        <w:fldChar w:fldCharType="separate"/>
      </w:r>
      <w:r w:rsidR="00B30138">
        <w:rPr>
          <w:rFonts w:ascii="Calibri" w:eastAsia="SimSun" w:hAnsi="Calibri" w:cs="Arial"/>
          <w:b/>
          <w:bCs/>
          <w:noProof/>
        </w:rPr>
        <w:t>1</w:t>
      </w:r>
      <w:r w:rsidR="00E57A85" w:rsidRPr="007D339C">
        <w:rPr>
          <w:rFonts w:ascii="Calibri" w:eastAsia="SimSun" w:hAnsi="Calibri" w:cs="Arial"/>
          <w:b/>
          <w:bCs/>
        </w:rPr>
        <w:fldChar w:fldCharType="end"/>
      </w:r>
      <w:r w:rsidRPr="007D339C">
        <w:rPr>
          <w:rFonts w:ascii="Calibri" w:eastAsia="SimSun" w:hAnsi="Calibri" w:cs="Arial"/>
          <w:b/>
          <w:bCs/>
        </w:rPr>
        <w:t xml:space="preserve">: </w:t>
      </w:r>
      <w:r>
        <w:rPr>
          <w:b/>
        </w:rPr>
        <w:t xml:space="preserve">It is not practical to rely on UE detection </w:t>
      </w:r>
      <w:r w:rsidR="005455BB">
        <w:rPr>
          <w:b/>
        </w:rPr>
        <w:t xml:space="preserve">for </w:t>
      </w:r>
      <w:r w:rsidR="007E2088">
        <w:rPr>
          <w:b/>
        </w:rPr>
        <w:t>the</w:t>
      </w:r>
      <w:r>
        <w:rPr>
          <w:b/>
        </w:rPr>
        <w:t xml:space="preserve"> presence</w:t>
      </w:r>
      <w:r w:rsidR="007E2088">
        <w:rPr>
          <w:b/>
        </w:rPr>
        <w:t xml:space="preserve"> of SSB</w:t>
      </w:r>
      <w:r>
        <w:rPr>
          <w:b/>
        </w:rPr>
        <w:t xml:space="preserve"> to extend </w:t>
      </w:r>
      <w:r w:rsidR="00376E59">
        <w:rPr>
          <w:b/>
        </w:rPr>
        <w:t xml:space="preserve">the </w:t>
      </w:r>
      <w:r>
        <w:rPr>
          <w:b/>
        </w:rPr>
        <w:t>measurement/evaluation period under low SNR condition</w:t>
      </w:r>
      <w:r w:rsidRPr="00CC44E3">
        <w:rPr>
          <w:b/>
        </w:rPr>
        <w:t>.</w:t>
      </w:r>
      <w:bookmarkEnd w:id="4"/>
    </w:p>
    <w:p w:rsidR="00C33D21" w:rsidRDefault="00A37BEB" w:rsidP="006A0755">
      <w:pPr>
        <w:pStyle w:val="af1"/>
        <w:jc w:val="both"/>
        <w:rPr>
          <w:rFonts w:ascii="Calibri" w:eastAsia="SimSun" w:hAnsi="Calibri" w:cs="Arial"/>
          <w:bCs/>
          <w:sz w:val="22"/>
          <w:szCs w:val="22"/>
        </w:rPr>
      </w:pPr>
      <w:bookmarkStart w:id="5" w:name="_Ref20904816"/>
      <w:bookmarkStart w:id="6" w:name="_Ref20919626"/>
      <w:bookmarkStart w:id="7" w:name="_Ref24003451"/>
      <w:bookmarkEnd w:id="3"/>
      <w:r w:rsidRPr="008463A6">
        <w:rPr>
          <w:rFonts w:ascii="Calibri" w:eastAsia="SimSun" w:hAnsi="Calibri" w:cs="Arial"/>
          <w:bCs/>
          <w:sz w:val="22"/>
          <w:szCs w:val="22"/>
        </w:rPr>
        <w:t xml:space="preserve">Proposal </w:t>
      </w:r>
      <w:r w:rsidR="00E57A85"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00E57A85" w:rsidRPr="008463A6">
        <w:rPr>
          <w:rFonts w:ascii="Calibri" w:eastAsia="SimSun" w:hAnsi="Calibri" w:cs="Arial"/>
          <w:bCs/>
          <w:sz w:val="22"/>
          <w:szCs w:val="22"/>
        </w:rPr>
        <w:fldChar w:fldCharType="separate"/>
      </w:r>
      <w:r w:rsidR="00B30138">
        <w:rPr>
          <w:rFonts w:ascii="Calibri" w:eastAsia="SimSun" w:hAnsi="Calibri" w:cs="Arial"/>
          <w:bCs/>
          <w:noProof/>
          <w:sz w:val="22"/>
          <w:szCs w:val="22"/>
        </w:rPr>
        <w:t>1</w:t>
      </w:r>
      <w:r w:rsidR="00E57A85"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bookmarkEnd w:id="5"/>
      <w:r w:rsidR="005D3967">
        <w:rPr>
          <w:rFonts w:ascii="Calibri" w:eastAsia="SimSun" w:hAnsi="Calibri" w:cs="Arial"/>
          <w:bCs/>
          <w:sz w:val="22"/>
          <w:szCs w:val="22"/>
        </w:rPr>
        <w:t xml:space="preserve">For SNR&lt;X dB, UE </w:t>
      </w:r>
      <w:r w:rsidR="00AF3105">
        <w:rPr>
          <w:rFonts w:ascii="Calibri" w:eastAsia="SimSun" w:hAnsi="Calibri" w:cs="Arial"/>
          <w:bCs/>
          <w:sz w:val="22"/>
          <w:szCs w:val="22"/>
        </w:rPr>
        <w:t>is</w:t>
      </w:r>
      <w:r w:rsidR="00C33D21">
        <w:rPr>
          <w:rFonts w:ascii="Calibri" w:eastAsia="SimSun" w:hAnsi="Calibri" w:cs="Arial"/>
          <w:bCs/>
          <w:sz w:val="22"/>
          <w:szCs w:val="22"/>
        </w:rPr>
        <w:t xml:space="preserve"> not able to detect the presence of SSB; for SNR</w:t>
      </w:r>
      <w:r w:rsidR="00AF3105">
        <w:rPr>
          <w:rFonts w:ascii="Calibri" w:eastAsia="SimSun" w:hAnsi="Calibri" w:cs="Arial"/>
          <w:bCs/>
          <w:sz w:val="22"/>
          <w:szCs w:val="22"/>
        </w:rPr>
        <w:t>&gt;</w:t>
      </w:r>
      <w:r w:rsidR="00C33D21">
        <w:rPr>
          <w:rFonts w:ascii="Calibri" w:eastAsia="SimSun" w:hAnsi="Calibri" w:cs="Arial"/>
          <w:bCs/>
          <w:sz w:val="22"/>
          <w:szCs w:val="22"/>
        </w:rPr>
        <w:t xml:space="preserve">Y dB, UE </w:t>
      </w:r>
      <w:r w:rsidR="00AF3105">
        <w:rPr>
          <w:rFonts w:ascii="Calibri" w:eastAsia="SimSun" w:hAnsi="Calibri" w:cs="Arial"/>
          <w:bCs/>
          <w:sz w:val="22"/>
          <w:szCs w:val="22"/>
        </w:rPr>
        <w:t>may be</w:t>
      </w:r>
      <w:r w:rsidR="00C33D21">
        <w:rPr>
          <w:rFonts w:ascii="Calibri" w:eastAsia="SimSun" w:hAnsi="Calibri" w:cs="Arial"/>
          <w:bCs/>
          <w:sz w:val="22"/>
          <w:szCs w:val="22"/>
        </w:rPr>
        <w:t xml:space="preserve"> able to detect the presence of SSB</w:t>
      </w:r>
      <w:r w:rsidR="0053411B">
        <w:rPr>
          <w:rFonts w:ascii="Calibri" w:eastAsia="SimSun" w:hAnsi="Calibri" w:cs="Arial"/>
          <w:bCs/>
          <w:sz w:val="22"/>
          <w:szCs w:val="22"/>
        </w:rPr>
        <w:t>.</w:t>
      </w:r>
      <w:bookmarkEnd w:id="6"/>
      <w:r w:rsidR="00C33D21">
        <w:rPr>
          <w:rFonts w:ascii="Calibri" w:eastAsia="SimSun" w:hAnsi="Calibri" w:cs="Arial"/>
          <w:bCs/>
          <w:sz w:val="22"/>
          <w:szCs w:val="22"/>
        </w:rPr>
        <w:t xml:space="preserve"> FFS value of X and Y.</w:t>
      </w:r>
      <w:bookmarkEnd w:id="7"/>
    </w:p>
    <w:p w:rsidR="00592EA6" w:rsidRPr="00592EA6" w:rsidRDefault="00592EA6" w:rsidP="00592EA6"/>
    <w:p w:rsidR="006A0755" w:rsidRDefault="00E23E22" w:rsidP="006A0755">
      <w:r w:rsidRPr="00E23E22">
        <w:rPr>
          <w:noProof/>
        </w:rPr>
        <w:drawing>
          <wp:inline distT="0" distB="0" distL="0" distR="0">
            <wp:extent cx="6120765" cy="8039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803988"/>
                    </a:xfrm>
                    <a:prstGeom prst="rect">
                      <a:avLst/>
                    </a:prstGeom>
                    <a:noFill/>
                    <a:ln>
                      <a:noFill/>
                    </a:ln>
                  </pic:spPr>
                </pic:pic>
              </a:graphicData>
            </a:graphic>
          </wp:inline>
        </w:drawing>
      </w:r>
    </w:p>
    <w:p w:rsidR="00592EA6" w:rsidRPr="006A0755" w:rsidRDefault="00592EA6" w:rsidP="006A0755"/>
    <w:p w:rsidR="001A38C9" w:rsidRPr="00513BA7" w:rsidRDefault="00CD7A0E" w:rsidP="001A38C9">
      <w:pPr>
        <w:pStyle w:val="1"/>
        <w:numPr>
          <w:ilvl w:val="0"/>
          <w:numId w:val="2"/>
        </w:numPr>
        <w:rPr>
          <w:rFonts w:ascii="Calibri" w:hAnsi="Calibri"/>
        </w:rPr>
      </w:pPr>
      <w:r>
        <w:rPr>
          <w:rFonts w:ascii="Calibri" w:hAnsi="Calibri"/>
        </w:rPr>
        <w:t>OO</w:t>
      </w:r>
      <w:r w:rsidR="001A38C9">
        <w:rPr>
          <w:rFonts w:ascii="Calibri" w:hAnsi="Calibri"/>
        </w:rPr>
        <w:t>S evaluation period</w:t>
      </w:r>
    </w:p>
    <w:p w:rsidR="00781F6C" w:rsidRDefault="00EE6E5D" w:rsidP="00EE6E5D">
      <w:pPr>
        <w:jc w:val="both"/>
      </w:pPr>
      <w:r>
        <w:rPr>
          <w:lang w:val="en-GB"/>
        </w:rPr>
        <w:t xml:space="preserve">The unavailable </w:t>
      </w:r>
      <w:r w:rsidR="006A0755">
        <w:rPr>
          <w:lang w:val="en-GB"/>
        </w:rPr>
        <w:t>SSBs</w:t>
      </w:r>
      <w:r>
        <w:rPr>
          <w:lang w:val="en-GB"/>
        </w:rPr>
        <w:t xml:space="preserve"> could be due to bad channel condition or LBT failure at BS, but UE would not know it, since UE </w:t>
      </w:r>
      <w:r w:rsidR="006A0755">
        <w:t>may</w:t>
      </w:r>
      <w:r>
        <w:t xml:space="preserve"> not be able to reliably detect</w:t>
      </w:r>
      <w:r w:rsidR="002B3270">
        <w:t xml:space="preserve"> the existence of SSB</w:t>
      </w:r>
      <w:r w:rsidR="006A0755">
        <w:t xml:space="preserve"> in </w:t>
      </w:r>
      <w:r>
        <w:t>low SNR region, as discussed in Section 2.</w:t>
      </w:r>
      <w:r w:rsidR="006A0755">
        <w:t xml:space="preserve"> </w:t>
      </w:r>
      <w:r>
        <w:t xml:space="preserve">Due to this fact, we suggest that </w:t>
      </w:r>
      <w:r w:rsidR="006A0755">
        <w:t xml:space="preserve">the </w:t>
      </w:r>
      <w:r w:rsidR="006A0755" w:rsidRPr="006A0755">
        <w:t xml:space="preserve">OOS evaluation period is specified based on the assumption that UE </w:t>
      </w:r>
      <w:r w:rsidR="00E23E22">
        <w:t>does not</w:t>
      </w:r>
      <w:r w:rsidR="005C5E9D">
        <w:t xml:space="preserve"> detect the presence of SSB</w:t>
      </w:r>
      <w:r w:rsidR="00781F6C">
        <w:t xml:space="preserve">. </w:t>
      </w:r>
      <w:r w:rsidR="00E23E22">
        <w:t>As a</w:t>
      </w:r>
      <w:r w:rsidR="00F616AD">
        <w:t xml:space="preserve"> consequence</w:t>
      </w:r>
      <w:r w:rsidR="00E23E22">
        <w:t>, the OOS evaluation period should not be dynamically extended according to the number of unavailable SSBs.</w:t>
      </w:r>
    </w:p>
    <w:p w:rsidR="005C5E9D" w:rsidRDefault="00781F6C" w:rsidP="00EE6E5D">
      <w:pPr>
        <w:jc w:val="both"/>
      </w:pPr>
      <w:r>
        <w:t>On the other way, to avoid too many OOS indication</w:t>
      </w:r>
      <w:r w:rsidR="002B3270">
        <w:t>s</w:t>
      </w:r>
      <w:r>
        <w:t xml:space="preserve"> triggered by DL LBT failure, </w:t>
      </w:r>
      <w:r w:rsidR="005C5E9D">
        <w:t xml:space="preserve">the OOS evaluation </w:t>
      </w:r>
      <w:r w:rsidR="00E23E22">
        <w:t xml:space="preserve">period </w:t>
      </w:r>
      <w:r w:rsidR="005C5E9D">
        <w:t xml:space="preserve">can be scaled up by a </w:t>
      </w:r>
      <w:r w:rsidR="008B559D">
        <w:t xml:space="preserve">fixed </w:t>
      </w:r>
      <w:r w:rsidR="005C5E9D">
        <w:t>scaling factor (</w:t>
      </w:r>
      <w:r w:rsidR="0085201F">
        <w:t>e.g. 2</w:t>
      </w:r>
      <w:r w:rsidR="005C5E9D">
        <w:t xml:space="preserve">). </w:t>
      </w:r>
      <w:r w:rsidR="00E23E22">
        <w:t xml:space="preserve">So that UE is allowed to consider more samples before indicating OOS. </w:t>
      </w:r>
      <w:r w:rsidR="008B559D">
        <w:t>It can observe that the fixed scaling factor on OOS evaluation wi</w:t>
      </w:r>
      <w:r w:rsidR="002B3270">
        <w:t>ll not always delay the indication of OOS</w:t>
      </w:r>
      <w:r w:rsidR="008B559D">
        <w:t xml:space="preserve">. For example, for an advanced UE, which is able to achieve sufficient accuracy with fewer samples and may be able to detect the presence of SSBs under low SNR condition, it should allow </w:t>
      </w:r>
      <w:r w:rsidR="00857121">
        <w:t xml:space="preserve">such </w:t>
      </w:r>
      <w:r w:rsidR="008B559D">
        <w:t>UE</w:t>
      </w:r>
      <w:r w:rsidR="002B3270">
        <w:t xml:space="preserve"> to indicate</w:t>
      </w:r>
      <w:r w:rsidR="008C3E88">
        <w:t xml:space="preserve"> </w:t>
      </w:r>
      <w:r w:rsidR="002B3270">
        <w:t xml:space="preserve">OOS </w:t>
      </w:r>
      <w:r w:rsidR="00A5736C">
        <w:t xml:space="preserve">earlier than the entire </w:t>
      </w:r>
      <w:r w:rsidR="008B559D">
        <w:t xml:space="preserve">OOS evaluation period. </w:t>
      </w:r>
    </w:p>
    <w:p w:rsidR="00857121" w:rsidRPr="00A5736C" w:rsidRDefault="00857121" w:rsidP="008B559D">
      <w:pPr>
        <w:jc w:val="both"/>
        <w:rPr>
          <w:b/>
        </w:rPr>
      </w:pPr>
      <w:bookmarkStart w:id="8" w:name="_Ref24003435"/>
      <w:bookmarkStart w:id="9" w:name="_Ref21077829"/>
      <w:r w:rsidRPr="007D339C">
        <w:rPr>
          <w:rFonts w:ascii="Calibri" w:eastAsia="SimSun" w:hAnsi="Calibri" w:cs="Arial"/>
          <w:b/>
          <w:bCs/>
        </w:rPr>
        <w:t xml:space="preserve">Observation </w:t>
      </w:r>
      <w:r w:rsidR="00E57A85"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00E57A85" w:rsidRPr="007D339C">
        <w:rPr>
          <w:rFonts w:ascii="Calibri" w:eastAsia="SimSun" w:hAnsi="Calibri" w:cs="Arial"/>
          <w:b/>
          <w:bCs/>
        </w:rPr>
        <w:fldChar w:fldCharType="separate"/>
      </w:r>
      <w:r w:rsidR="00B30138">
        <w:rPr>
          <w:rFonts w:ascii="Calibri" w:eastAsia="SimSun" w:hAnsi="Calibri" w:cs="Arial"/>
          <w:b/>
          <w:bCs/>
          <w:noProof/>
        </w:rPr>
        <w:t>2</w:t>
      </w:r>
      <w:r w:rsidR="00E57A85" w:rsidRPr="007D339C">
        <w:rPr>
          <w:rFonts w:ascii="Calibri" w:eastAsia="SimSun" w:hAnsi="Calibri" w:cs="Arial"/>
          <w:b/>
          <w:bCs/>
        </w:rPr>
        <w:fldChar w:fldCharType="end"/>
      </w:r>
      <w:r w:rsidRPr="007D339C">
        <w:rPr>
          <w:rFonts w:ascii="Calibri" w:eastAsia="SimSun" w:hAnsi="Calibri" w:cs="Arial"/>
          <w:b/>
          <w:bCs/>
        </w:rPr>
        <w:t xml:space="preserve">: </w:t>
      </w:r>
      <w:r w:rsidR="00A5736C">
        <w:rPr>
          <w:b/>
        </w:rPr>
        <w:t>Advanced UE</w:t>
      </w:r>
      <w:r w:rsidR="007C6608">
        <w:rPr>
          <w:b/>
        </w:rPr>
        <w:t>s</w:t>
      </w:r>
      <w:r w:rsidR="00A5736C">
        <w:rPr>
          <w:b/>
        </w:rPr>
        <w:t xml:space="preserve"> could send out OOS indication</w:t>
      </w:r>
      <w:r w:rsidR="002B3270">
        <w:rPr>
          <w:b/>
        </w:rPr>
        <w:t>s</w:t>
      </w:r>
      <w:r w:rsidR="00A5736C">
        <w:rPr>
          <w:b/>
        </w:rPr>
        <w:t xml:space="preserve"> </w:t>
      </w:r>
      <w:r w:rsidR="00A5736C" w:rsidRPr="00A5736C">
        <w:rPr>
          <w:b/>
        </w:rPr>
        <w:t xml:space="preserve">earlier than </w:t>
      </w:r>
      <w:r w:rsidR="00A5736C">
        <w:rPr>
          <w:b/>
        </w:rPr>
        <w:t>the entire</w:t>
      </w:r>
      <w:r w:rsidR="00A5736C" w:rsidRPr="00A5736C">
        <w:rPr>
          <w:b/>
        </w:rPr>
        <w:t xml:space="preserve"> OOS evaluation period</w:t>
      </w:r>
      <w:r w:rsidR="00B57C3F">
        <w:rPr>
          <w:b/>
        </w:rPr>
        <w:t>.</w:t>
      </w:r>
      <w:bookmarkEnd w:id="8"/>
    </w:p>
    <w:p w:rsidR="008B559D" w:rsidRDefault="006A0755" w:rsidP="008B559D">
      <w:pPr>
        <w:jc w:val="both"/>
      </w:pPr>
      <w:bookmarkStart w:id="10" w:name="_Ref24003456"/>
      <w:r w:rsidRPr="003D1393">
        <w:rPr>
          <w:rFonts w:ascii="Calibri" w:eastAsia="SimSun" w:hAnsi="Calibri" w:cs="Arial"/>
          <w:b/>
          <w:bCs/>
        </w:rPr>
        <w:t xml:space="preserve">Proposal </w:t>
      </w:r>
      <w:r w:rsidR="00E57A85" w:rsidRPr="003D1393">
        <w:rPr>
          <w:rFonts w:ascii="Calibri" w:eastAsia="SimSun" w:hAnsi="Calibri" w:cs="Arial"/>
          <w:b/>
          <w:bCs/>
        </w:rPr>
        <w:fldChar w:fldCharType="begin"/>
      </w:r>
      <w:r w:rsidRPr="003D1393">
        <w:rPr>
          <w:rFonts w:ascii="Calibri" w:eastAsia="SimSun" w:hAnsi="Calibri" w:cs="Arial"/>
          <w:b/>
          <w:bCs/>
        </w:rPr>
        <w:instrText xml:space="preserve"> SEQ Proposal \* ARABIC </w:instrText>
      </w:r>
      <w:r w:rsidR="00E57A85" w:rsidRPr="003D1393">
        <w:rPr>
          <w:rFonts w:ascii="Calibri" w:eastAsia="SimSun" w:hAnsi="Calibri" w:cs="Arial"/>
          <w:b/>
          <w:bCs/>
        </w:rPr>
        <w:fldChar w:fldCharType="separate"/>
      </w:r>
      <w:r w:rsidR="00B30138">
        <w:rPr>
          <w:rFonts w:ascii="Calibri" w:eastAsia="SimSun" w:hAnsi="Calibri" w:cs="Arial"/>
          <w:b/>
          <w:bCs/>
          <w:noProof/>
        </w:rPr>
        <w:t>2</w:t>
      </w:r>
      <w:r w:rsidR="00E57A85" w:rsidRPr="003D1393">
        <w:rPr>
          <w:rFonts w:ascii="Calibri" w:eastAsia="SimSun" w:hAnsi="Calibri" w:cs="Arial"/>
          <w:b/>
          <w:bCs/>
        </w:rPr>
        <w:fldChar w:fldCharType="end"/>
      </w:r>
      <w:r w:rsidRPr="003D1393">
        <w:rPr>
          <w:rFonts w:ascii="Calibri" w:eastAsia="SimSun" w:hAnsi="Calibri" w:cs="Arial"/>
          <w:b/>
          <w:bCs/>
        </w:rPr>
        <w:t>:</w:t>
      </w:r>
      <w:r w:rsidRPr="003D1393">
        <w:rPr>
          <w:b/>
          <w:lang w:val="en-GB"/>
        </w:rPr>
        <w:t xml:space="preserve"> </w:t>
      </w:r>
      <w:r w:rsidR="00BC2C45">
        <w:rPr>
          <w:b/>
        </w:rPr>
        <w:t>As</w:t>
      </w:r>
      <w:r w:rsidR="008B559D">
        <w:rPr>
          <w:b/>
        </w:rPr>
        <w:t xml:space="preserve"> minimum requirement, </w:t>
      </w:r>
      <w:r w:rsidR="008B559D" w:rsidRPr="008B559D">
        <w:rPr>
          <w:b/>
        </w:rPr>
        <w:t>the OOS evaluation is scaled up by a fixed scaling factor (e.g. 2)</w:t>
      </w:r>
      <w:r w:rsidR="008B559D">
        <w:rPr>
          <w:b/>
        </w:rPr>
        <w:t xml:space="preserve">, and </w:t>
      </w:r>
      <w:r w:rsidR="008B559D" w:rsidRPr="008B559D">
        <w:rPr>
          <w:b/>
        </w:rPr>
        <w:t xml:space="preserve">it should allow </w:t>
      </w:r>
      <w:r w:rsidR="002B3270">
        <w:rPr>
          <w:b/>
        </w:rPr>
        <w:t>UE to indicate</w:t>
      </w:r>
      <w:r w:rsidR="008B559D" w:rsidRPr="008B559D">
        <w:rPr>
          <w:b/>
        </w:rPr>
        <w:t xml:space="preserve"> </w:t>
      </w:r>
      <w:r w:rsidR="002B3270">
        <w:rPr>
          <w:b/>
        </w:rPr>
        <w:t xml:space="preserve">OOS indicate earlier than the entire of </w:t>
      </w:r>
      <w:r w:rsidR="008B559D" w:rsidRPr="008B559D">
        <w:rPr>
          <w:b/>
        </w:rPr>
        <w:t>OOS evaluation period.</w:t>
      </w:r>
      <w:bookmarkEnd w:id="10"/>
      <w:r w:rsidR="008B559D">
        <w:t xml:space="preserve"> </w:t>
      </w:r>
    </w:p>
    <w:bookmarkEnd w:id="9"/>
    <w:p w:rsidR="00EE6E5D" w:rsidRPr="00B57C3F" w:rsidRDefault="00B57C3F" w:rsidP="00B57C3F">
      <w:pPr>
        <w:jc w:val="both"/>
        <w:rPr>
          <w:b/>
          <w:lang w:val="en-GB"/>
        </w:rPr>
      </w:pPr>
      <w:r w:rsidRPr="00252F24">
        <w:rPr>
          <w:b/>
          <w:lang w:val="en-GB"/>
        </w:rPr>
        <w:t xml:space="preserve"> </w:t>
      </w:r>
    </w:p>
    <w:p w:rsidR="00F10657" w:rsidRPr="002B3270" w:rsidRDefault="00B57C3F" w:rsidP="002B3270">
      <w:pPr>
        <w:pStyle w:val="1"/>
        <w:numPr>
          <w:ilvl w:val="0"/>
          <w:numId w:val="2"/>
        </w:numPr>
        <w:rPr>
          <w:rFonts w:ascii="Calibri" w:hAnsi="Calibri"/>
        </w:rPr>
      </w:pPr>
      <w:r>
        <w:rPr>
          <w:rFonts w:ascii="Calibri" w:hAnsi="Calibri"/>
        </w:rPr>
        <w:lastRenderedPageBreak/>
        <w:t>IN</w:t>
      </w:r>
      <w:r w:rsidR="001A38C9">
        <w:rPr>
          <w:rFonts w:ascii="Calibri" w:hAnsi="Calibri"/>
        </w:rPr>
        <w:t>S evaluation period</w:t>
      </w:r>
    </w:p>
    <w:p w:rsidR="00B57C3F" w:rsidRDefault="00B57C3F" w:rsidP="00B57C3F">
      <w:pPr>
        <w:jc w:val="both"/>
        <w:rPr>
          <w:lang w:val="en-GB"/>
        </w:rPr>
      </w:pPr>
      <w:r>
        <w:t xml:space="preserve">The evaluation period of INS indication for NR-U will be extended due to the </w:t>
      </w:r>
      <w:r w:rsidRPr="00A94DB6">
        <w:t xml:space="preserve">number of </w:t>
      </w:r>
      <w:r>
        <w:t xml:space="preserve">DRS/DMTC </w:t>
      </w:r>
      <w:r w:rsidRPr="00A94DB6">
        <w:t>o</w:t>
      </w:r>
      <w:r>
        <w:t xml:space="preserve">ccasions not available at the </w:t>
      </w:r>
      <w:r>
        <w:rPr>
          <w:lang w:val="en-GB"/>
        </w:rPr>
        <w:t xml:space="preserve">UE. </w:t>
      </w:r>
      <w:r w:rsidR="00F747C2">
        <w:rPr>
          <w:lang w:val="en-GB"/>
        </w:rPr>
        <w:t>One example is shown in Figure 3</w:t>
      </w:r>
      <w:r>
        <w:rPr>
          <w:lang w:val="en-GB"/>
        </w:rPr>
        <w:t>. At the begin</w:t>
      </w:r>
      <w:r w:rsidR="007A6C84">
        <w:rPr>
          <w:lang w:val="en-GB"/>
        </w:rPr>
        <w:t>ning</w:t>
      </w:r>
      <w:r>
        <w:rPr>
          <w:lang w:val="en-GB"/>
        </w:rPr>
        <w:t xml:space="preserve"> of SNR2, the INS evaluation period will be extended, no matter the reason is due to </w:t>
      </w:r>
      <w:r w:rsidRPr="00A74216">
        <w:rPr>
          <w:lang w:val="en-GB"/>
        </w:rPr>
        <w:t xml:space="preserve">missed DRS </w:t>
      </w:r>
      <w:r>
        <w:rPr>
          <w:lang w:val="en-GB"/>
        </w:rPr>
        <w:t xml:space="preserve">or transmitted DRS under very low SNR. Therefore, the UE </w:t>
      </w:r>
      <w:r w:rsidR="00883B9F">
        <w:rPr>
          <w:lang w:val="en-GB"/>
        </w:rPr>
        <w:t xml:space="preserve">can </w:t>
      </w:r>
      <w:r>
        <w:rPr>
          <w:lang w:val="en-GB"/>
        </w:rPr>
        <w:t>keep indicating INS, if the total number of missed DRS or transmitted DRS under low SNR is not larger than L</w:t>
      </w:r>
      <w:r w:rsidRPr="005B74D5">
        <w:rPr>
          <w:vertAlign w:val="subscript"/>
          <w:lang w:val="en-GB"/>
        </w:rPr>
        <w:t>in,max</w:t>
      </w:r>
      <w:r>
        <w:rPr>
          <w:lang w:val="en-GB"/>
        </w:rPr>
        <w:t>.</w:t>
      </w:r>
      <w:r w:rsidR="00883B9F">
        <w:rPr>
          <w:lang w:val="en-GB"/>
        </w:rPr>
        <w:t xml:space="preserve"> Note that for advanced UE, it is also allowed to stop indicating INS if it has the confidence on the SSB presence.</w:t>
      </w:r>
    </w:p>
    <w:p w:rsidR="00F747C2" w:rsidRDefault="00B57C3F" w:rsidP="00B57C3F">
      <w:pPr>
        <w:jc w:val="both"/>
        <w:rPr>
          <w:b/>
          <w:lang w:val="en-GB"/>
        </w:rPr>
      </w:pPr>
      <w:bookmarkStart w:id="11" w:name="_Ref24003439"/>
      <w:bookmarkStart w:id="12" w:name="_Ref21094780"/>
      <w:r w:rsidRPr="007D339C">
        <w:rPr>
          <w:rFonts w:ascii="Calibri" w:eastAsia="SimSun" w:hAnsi="Calibri" w:cs="Arial"/>
          <w:b/>
          <w:bCs/>
        </w:rPr>
        <w:t xml:space="preserve">Observation </w:t>
      </w:r>
      <w:r w:rsidR="00E57A85"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00E57A85" w:rsidRPr="007D339C">
        <w:rPr>
          <w:rFonts w:ascii="Calibri" w:eastAsia="SimSun" w:hAnsi="Calibri" w:cs="Arial"/>
          <w:b/>
          <w:bCs/>
        </w:rPr>
        <w:fldChar w:fldCharType="separate"/>
      </w:r>
      <w:r w:rsidR="00B30138">
        <w:rPr>
          <w:rFonts w:ascii="Calibri" w:eastAsia="SimSun" w:hAnsi="Calibri" w:cs="Arial"/>
          <w:b/>
          <w:bCs/>
          <w:noProof/>
        </w:rPr>
        <w:t>3</w:t>
      </w:r>
      <w:r w:rsidR="00E57A85" w:rsidRPr="007D339C">
        <w:rPr>
          <w:rFonts w:ascii="Calibri" w:eastAsia="SimSun" w:hAnsi="Calibri" w:cs="Arial"/>
          <w:b/>
          <w:bCs/>
        </w:rPr>
        <w:fldChar w:fldCharType="end"/>
      </w:r>
      <w:r w:rsidRPr="007D339C">
        <w:rPr>
          <w:rFonts w:ascii="Calibri" w:eastAsia="SimSun" w:hAnsi="Calibri" w:cs="Arial"/>
          <w:b/>
          <w:bCs/>
        </w:rPr>
        <w:t xml:space="preserve">: </w:t>
      </w:r>
      <w:r w:rsidRPr="00ED1803">
        <w:rPr>
          <w:b/>
          <w:lang w:val="en-GB"/>
        </w:rPr>
        <w:t xml:space="preserve">UE </w:t>
      </w:r>
      <w:r w:rsidR="0093310B">
        <w:rPr>
          <w:b/>
          <w:lang w:val="en-GB"/>
        </w:rPr>
        <w:t>can</w:t>
      </w:r>
      <w:r w:rsidR="0093310B" w:rsidRPr="00ED1803">
        <w:rPr>
          <w:b/>
          <w:lang w:val="en-GB"/>
        </w:rPr>
        <w:t xml:space="preserve"> </w:t>
      </w:r>
      <w:r w:rsidRPr="00ED1803">
        <w:rPr>
          <w:b/>
          <w:lang w:val="en-GB"/>
        </w:rPr>
        <w:t>keep indicating INS</w:t>
      </w:r>
      <w:r w:rsidR="00F747C2">
        <w:rPr>
          <w:b/>
          <w:lang w:val="en-GB"/>
        </w:rPr>
        <w:t xml:space="preserve"> when the INS evaluation is extended</w:t>
      </w:r>
      <w:r w:rsidRPr="00ED1803">
        <w:rPr>
          <w:b/>
          <w:lang w:val="en-GB"/>
        </w:rPr>
        <w:t xml:space="preserve">, </w:t>
      </w:r>
      <w:r w:rsidR="00F747C2">
        <w:rPr>
          <w:b/>
          <w:lang w:val="en-GB"/>
        </w:rPr>
        <w:t>when the SSB is not transmitted or the SSB is transmitted but under low SNR condition.</w:t>
      </w:r>
      <w:bookmarkEnd w:id="11"/>
    </w:p>
    <w:bookmarkEnd w:id="12"/>
    <w:p w:rsidR="00B57C3F" w:rsidRPr="00CC44E3" w:rsidRDefault="00B57C3F" w:rsidP="00B57C3F">
      <w:pPr>
        <w:jc w:val="both"/>
        <w:rPr>
          <w:lang w:val="en-GB"/>
        </w:rPr>
      </w:pPr>
    </w:p>
    <w:p w:rsidR="00B57C3F" w:rsidRDefault="00B57C3F" w:rsidP="00B57C3F">
      <w:pPr>
        <w:jc w:val="center"/>
        <w:rPr>
          <w:lang w:val="en-GB"/>
        </w:rPr>
      </w:pPr>
      <w:r>
        <w:rPr>
          <w:noProof/>
        </w:rPr>
        <w:drawing>
          <wp:inline distT="0" distB="0" distL="0" distR="0">
            <wp:extent cx="4076700" cy="2645834"/>
            <wp:effectExtent l="0" t="0" r="0" b="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2296" cy="2655956"/>
                    </a:xfrm>
                    <a:prstGeom prst="rect">
                      <a:avLst/>
                    </a:prstGeom>
                    <a:noFill/>
                    <a:ln>
                      <a:noFill/>
                    </a:ln>
                  </pic:spPr>
                </pic:pic>
              </a:graphicData>
            </a:graphic>
          </wp:inline>
        </w:drawing>
      </w:r>
    </w:p>
    <w:p w:rsidR="00B57C3F" w:rsidRDefault="00B57C3F" w:rsidP="00B57C3F">
      <w:pPr>
        <w:pStyle w:val="af5"/>
        <w:ind w:left="360"/>
        <w:jc w:val="center"/>
      </w:pPr>
      <w:r w:rsidRPr="002146AA">
        <w:rPr>
          <w:rFonts w:ascii="Calibri" w:eastAsia="SimSun" w:hAnsi="Calibri" w:cs="Arial"/>
          <w:bCs/>
        </w:rPr>
        <w:t xml:space="preserve">Figure </w:t>
      </w:r>
      <w:r w:rsidR="00E57A85" w:rsidRPr="002146AA">
        <w:rPr>
          <w:rFonts w:ascii="Calibri" w:eastAsia="SimSun" w:hAnsi="Calibri" w:cs="Arial"/>
          <w:bCs/>
        </w:rPr>
        <w:fldChar w:fldCharType="begin"/>
      </w:r>
      <w:r w:rsidRPr="002146AA">
        <w:rPr>
          <w:rFonts w:ascii="Calibri" w:eastAsia="SimSun" w:hAnsi="Calibri" w:cs="Arial"/>
          <w:bCs/>
        </w:rPr>
        <w:instrText xml:space="preserve"> SEQ Figure \* ARABIC </w:instrText>
      </w:r>
      <w:r w:rsidR="00E57A85" w:rsidRPr="002146AA">
        <w:rPr>
          <w:rFonts w:ascii="Calibri" w:eastAsia="SimSun" w:hAnsi="Calibri" w:cs="Arial"/>
          <w:bCs/>
        </w:rPr>
        <w:fldChar w:fldCharType="separate"/>
      </w:r>
      <w:r w:rsidR="00B30138">
        <w:rPr>
          <w:rFonts w:ascii="Calibri" w:eastAsia="SimSun" w:hAnsi="Calibri" w:cs="Arial"/>
          <w:bCs/>
          <w:noProof/>
        </w:rPr>
        <w:t>3</w:t>
      </w:r>
      <w:r w:rsidR="00E57A85" w:rsidRPr="002146AA">
        <w:rPr>
          <w:rFonts w:ascii="Calibri" w:eastAsia="SimSun" w:hAnsi="Calibri" w:cs="Arial"/>
          <w:bCs/>
        </w:rPr>
        <w:fldChar w:fldCharType="end"/>
      </w:r>
      <w:r w:rsidRPr="002146AA">
        <w:rPr>
          <w:rFonts w:ascii="Calibri" w:eastAsia="SimSun" w:hAnsi="Calibri" w:cs="Arial"/>
          <w:bCs/>
        </w:rPr>
        <w:t xml:space="preserve">. </w:t>
      </w:r>
      <w:r>
        <w:t xml:space="preserve">Example of INS evaluation period extended due to the </w:t>
      </w:r>
      <w:r w:rsidRPr="006734ED">
        <w:rPr>
          <w:lang w:val="en-GB"/>
        </w:rPr>
        <w:t>DRS occasions missing at the</w:t>
      </w:r>
      <w:r>
        <w:rPr>
          <w:lang w:val="en-GB"/>
        </w:rPr>
        <w:t xml:space="preserve"> UE.</w:t>
      </w:r>
    </w:p>
    <w:p w:rsidR="00B57C3F" w:rsidRPr="00CC44E3" w:rsidRDefault="00B57C3F" w:rsidP="00B57C3F"/>
    <w:p w:rsidR="00B57C3F" w:rsidRDefault="00B57C3F" w:rsidP="00F747C2">
      <w:pPr>
        <w:jc w:val="both"/>
      </w:pPr>
      <w:r>
        <w:t xml:space="preserve">One the other hand, the OOS evaluation will be performed as the same time as the INS evaluation. From Figure 1, it can also observe that the OOS indication could be also sent out during SNR2. Therefore, </w:t>
      </w:r>
      <w:r w:rsidR="00F747C2">
        <w:t>the L</w:t>
      </w:r>
      <w:r w:rsidR="00F747C2" w:rsidRPr="00F747C2">
        <w:rPr>
          <w:vertAlign w:val="subscript"/>
        </w:rPr>
        <w:t xml:space="preserve">in,max </w:t>
      </w:r>
      <w:r w:rsidR="00F747C2">
        <w:t>*T</w:t>
      </w:r>
      <w:r w:rsidR="00F747C2" w:rsidRPr="00F747C2">
        <w:rPr>
          <w:vertAlign w:val="subscript"/>
        </w:rPr>
        <w:t>SSB</w:t>
      </w:r>
      <w:r w:rsidR="00F747C2">
        <w:t xml:space="preserve"> should be</w:t>
      </w:r>
      <w:r>
        <w:t xml:space="preserve"> shorter that the </w:t>
      </w:r>
      <w:r w:rsidR="00F747C2">
        <w:t xml:space="preserve">OOS evaluation period, in order to avoid </w:t>
      </w:r>
      <w:r>
        <w:t xml:space="preserve">UE </w:t>
      </w:r>
      <w:r w:rsidR="00F747C2">
        <w:t>to</w:t>
      </w:r>
      <w:r>
        <w:t xml:space="preserve"> </w:t>
      </w:r>
      <w:r w:rsidR="00AF0B61">
        <w:t xml:space="preserve">indicate INS and OOS </w:t>
      </w:r>
      <w:r w:rsidR="00F747C2">
        <w:t>simultaneously</w:t>
      </w:r>
      <w:r>
        <w:t xml:space="preserve">. </w:t>
      </w:r>
    </w:p>
    <w:p w:rsidR="001A38C9" w:rsidRPr="00F747C2" w:rsidRDefault="00B57C3F" w:rsidP="00F747C2">
      <w:pPr>
        <w:jc w:val="both"/>
        <w:rPr>
          <w:b/>
          <w:lang w:val="en-GB"/>
        </w:rPr>
      </w:pPr>
      <w:bookmarkStart w:id="13" w:name="_Ref21077823"/>
      <w:r w:rsidRPr="003D1393">
        <w:rPr>
          <w:rFonts w:ascii="Calibri" w:eastAsia="SimSun" w:hAnsi="Calibri" w:cs="Arial"/>
          <w:b/>
          <w:bCs/>
        </w:rPr>
        <w:t xml:space="preserve">Proposal </w:t>
      </w:r>
      <w:r w:rsidR="00E57A85" w:rsidRPr="003D1393">
        <w:rPr>
          <w:rFonts w:ascii="Calibri" w:eastAsia="SimSun" w:hAnsi="Calibri" w:cs="Arial"/>
          <w:b/>
          <w:bCs/>
        </w:rPr>
        <w:fldChar w:fldCharType="begin"/>
      </w:r>
      <w:r w:rsidRPr="003D1393">
        <w:rPr>
          <w:rFonts w:ascii="Calibri" w:eastAsia="SimSun" w:hAnsi="Calibri" w:cs="Arial"/>
          <w:b/>
          <w:bCs/>
        </w:rPr>
        <w:instrText xml:space="preserve"> SEQ Proposal \* ARABIC </w:instrText>
      </w:r>
      <w:r w:rsidR="00E57A85" w:rsidRPr="003D1393">
        <w:rPr>
          <w:rFonts w:ascii="Calibri" w:eastAsia="SimSun" w:hAnsi="Calibri" w:cs="Arial"/>
          <w:b/>
          <w:bCs/>
        </w:rPr>
        <w:fldChar w:fldCharType="separate"/>
      </w:r>
      <w:r w:rsidR="00B30138">
        <w:rPr>
          <w:rFonts w:ascii="Calibri" w:eastAsia="SimSun" w:hAnsi="Calibri" w:cs="Arial"/>
          <w:b/>
          <w:bCs/>
          <w:noProof/>
        </w:rPr>
        <w:t>3</w:t>
      </w:r>
      <w:r w:rsidR="00E57A85" w:rsidRPr="003D1393">
        <w:rPr>
          <w:rFonts w:ascii="Calibri" w:eastAsia="SimSun" w:hAnsi="Calibri" w:cs="Arial"/>
          <w:b/>
          <w:bCs/>
        </w:rPr>
        <w:fldChar w:fldCharType="end"/>
      </w:r>
      <w:r w:rsidRPr="003D1393">
        <w:rPr>
          <w:rFonts w:ascii="Calibri" w:eastAsia="SimSun" w:hAnsi="Calibri" w:cs="Arial"/>
          <w:b/>
          <w:bCs/>
        </w:rPr>
        <w:t>:</w:t>
      </w:r>
      <w:r w:rsidRPr="003D1393">
        <w:rPr>
          <w:b/>
          <w:lang w:val="en-GB"/>
        </w:rPr>
        <w:t xml:space="preserve"> </w:t>
      </w:r>
      <w:r w:rsidRPr="00F747C2">
        <w:rPr>
          <w:rFonts w:ascii="Calibri" w:hAnsi="Calibri"/>
          <w:b/>
        </w:rPr>
        <w:t xml:space="preserve">The </w:t>
      </w:r>
      <w:r w:rsidR="00F747C2" w:rsidRPr="00F747C2">
        <w:rPr>
          <w:rFonts w:ascii="Calibri" w:hAnsi="Calibri"/>
          <w:b/>
        </w:rPr>
        <w:t>L</w:t>
      </w:r>
      <w:r w:rsidR="00F747C2" w:rsidRPr="00F747C2">
        <w:rPr>
          <w:rFonts w:ascii="Calibri" w:hAnsi="Calibri"/>
          <w:b/>
          <w:vertAlign w:val="subscript"/>
        </w:rPr>
        <w:t xml:space="preserve">in,max </w:t>
      </w:r>
      <w:r w:rsidR="00F747C2" w:rsidRPr="00F747C2">
        <w:rPr>
          <w:rFonts w:ascii="Calibri" w:hAnsi="Calibri"/>
          <w:b/>
        </w:rPr>
        <w:t>*T</w:t>
      </w:r>
      <w:r w:rsidR="00F747C2" w:rsidRPr="00F747C2">
        <w:rPr>
          <w:rFonts w:ascii="Calibri" w:hAnsi="Calibri"/>
          <w:b/>
          <w:vertAlign w:val="subscript"/>
        </w:rPr>
        <w:t>SSB</w:t>
      </w:r>
      <w:r w:rsidR="00F747C2" w:rsidRPr="00F747C2">
        <w:rPr>
          <w:rFonts w:ascii="Calibri" w:hAnsi="Calibri"/>
          <w:b/>
        </w:rPr>
        <w:t xml:space="preserve"> should be shorter that the OOS evaluation period</w:t>
      </w:r>
      <w:r w:rsidRPr="00F747C2">
        <w:rPr>
          <w:rFonts w:ascii="Calibri" w:hAnsi="Calibri"/>
          <w:b/>
        </w:rPr>
        <w:t>.</w:t>
      </w:r>
      <w:bookmarkEnd w:id="13"/>
    </w:p>
    <w:p w:rsidR="001A38C9" w:rsidRPr="00F747C2" w:rsidRDefault="001A38C9" w:rsidP="00660B4F">
      <w:pPr>
        <w:spacing w:after="0" w:line="240" w:lineRule="auto"/>
        <w:rPr>
          <w:rFonts w:ascii="Calibri" w:hAnsi="Calibri"/>
          <w:lang w:val="en-GB"/>
        </w:rPr>
      </w:pPr>
    </w:p>
    <w:p w:rsidR="001A38C9" w:rsidRPr="00513BA7" w:rsidRDefault="001A38C9" w:rsidP="001A38C9">
      <w:pPr>
        <w:pStyle w:val="1"/>
        <w:numPr>
          <w:ilvl w:val="0"/>
          <w:numId w:val="2"/>
        </w:numPr>
        <w:rPr>
          <w:rFonts w:ascii="Calibri" w:hAnsi="Calibri"/>
        </w:rPr>
      </w:pPr>
      <w:r>
        <w:rPr>
          <w:rFonts w:ascii="Calibri" w:hAnsi="Calibri"/>
        </w:rPr>
        <w:t>OOS &amp; INS indication period</w:t>
      </w:r>
    </w:p>
    <w:p w:rsidR="009E46E1" w:rsidRPr="009E46E1" w:rsidRDefault="009E46E1" w:rsidP="009E46E1">
      <w:pPr>
        <w:jc w:val="both"/>
        <w:rPr>
          <w:lang w:val="en-GB"/>
        </w:rPr>
      </w:pPr>
      <w:r w:rsidRPr="009E46E1">
        <w:rPr>
          <w:lang w:val="en-GB"/>
        </w:rPr>
        <w:t xml:space="preserve">One related issue is whether to extend the indication period of INS/OOS due to the missing DRS occasions. In our view the R15 baseline can be reused. In R15, the indication period is not extended for the overlapping between MG and RLM-RS, and UE just derives the indication based on the old available samples. </w:t>
      </w:r>
    </w:p>
    <w:p w:rsidR="001A38C9" w:rsidRPr="00B30138" w:rsidRDefault="009E46E1" w:rsidP="00B30138">
      <w:pPr>
        <w:jc w:val="both"/>
        <w:rPr>
          <w:b/>
          <w:lang w:val="en-GB"/>
        </w:rPr>
      </w:pPr>
      <w:bookmarkStart w:id="14" w:name="_Ref21077817"/>
      <w:r w:rsidRPr="009E46E1">
        <w:rPr>
          <w:rFonts w:ascii="Calibri" w:eastAsia="SimSun" w:hAnsi="Calibri" w:cs="Arial"/>
          <w:b/>
          <w:bCs/>
        </w:rPr>
        <w:t xml:space="preserve">Proposal </w:t>
      </w:r>
      <w:r w:rsidR="00E57A85" w:rsidRPr="009E46E1">
        <w:rPr>
          <w:rFonts w:ascii="Calibri" w:eastAsia="SimSun" w:hAnsi="Calibri" w:cs="Arial"/>
          <w:b/>
          <w:bCs/>
        </w:rPr>
        <w:fldChar w:fldCharType="begin"/>
      </w:r>
      <w:r w:rsidRPr="009E46E1">
        <w:rPr>
          <w:rFonts w:ascii="Calibri" w:eastAsia="SimSun" w:hAnsi="Calibri" w:cs="Arial"/>
          <w:b/>
          <w:bCs/>
        </w:rPr>
        <w:instrText xml:space="preserve"> SEQ Proposal \* ARABIC </w:instrText>
      </w:r>
      <w:r w:rsidR="00E57A85" w:rsidRPr="009E46E1">
        <w:rPr>
          <w:rFonts w:ascii="Calibri" w:eastAsia="SimSun" w:hAnsi="Calibri" w:cs="Arial"/>
          <w:b/>
          <w:bCs/>
        </w:rPr>
        <w:fldChar w:fldCharType="separate"/>
      </w:r>
      <w:r w:rsidR="00B30138">
        <w:rPr>
          <w:rFonts w:ascii="Calibri" w:eastAsia="SimSun" w:hAnsi="Calibri" w:cs="Arial"/>
          <w:b/>
          <w:bCs/>
          <w:noProof/>
        </w:rPr>
        <w:t>4</w:t>
      </w:r>
      <w:r w:rsidR="00E57A85" w:rsidRPr="009E46E1">
        <w:rPr>
          <w:rFonts w:ascii="Calibri" w:eastAsia="SimSun" w:hAnsi="Calibri" w:cs="Arial"/>
          <w:b/>
          <w:bCs/>
        </w:rPr>
        <w:fldChar w:fldCharType="end"/>
      </w:r>
      <w:r w:rsidRPr="009E46E1">
        <w:rPr>
          <w:rFonts w:ascii="Calibri" w:eastAsia="SimSun" w:hAnsi="Calibri" w:cs="Arial"/>
          <w:b/>
          <w:bCs/>
        </w:rPr>
        <w:t>:</w:t>
      </w:r>
      <w:r w:rsidRPr="009E46E1">
        <w:rPr>
          <w:b/>
          <w:lang w:val="en-GB"/>
        </w:rPr>
        <w:t xml:space="preserve"> Not to extend the indication period of out-of-sync and in-sync due to the missing DRS occasions.</w:t>
      </w:r>
      <w:bookmarkEnd w:id="14"/>
    </w:p>
    <w:p w:rsidR="00CE0D5E" w:rsidRPr="000C45FD" w:rsidRDefault="00141644" w:rsidP="00CE0D5E">
      <w:pPr>
        <w:pStyle w:val="1"/>
        <w:numPr>
          <w:ilvl w:val="0"/>
          <w:numId w:val="2"/>
        </w:numPr>
        <w:rPr>
          <w:rFonts w:ascii="Calibri" w:hAnsi="Calibri"/>
          <w:lang w:eastAsia="zh-CN"/>
        </w:rPr>
      </w:pPr>
      <w:r>
        <w:rPr>
          <w:rFonts w:ascii="Calibri" w:hAnsi="Calibri"/>
        </w:rPr>
        <w:lastRenderedPageBreak/>
        <w:t>Summary</w:t>
      </w:r>
    </w:p>
    <w:p w:rsidR="00E710BA" w:rsidRDefault="006F7557" w:rsidP="00E710BA">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AF0B61">
        <w:t>UE detection for SSB presence is analyzed. And, the RLM requirements for NR-U are provided</w:t>
      </w:r>
      <w:r w:rsidR="00CE0CB5">
        <w:t>.</w:t>
      </w:r>
      <w:r w:rsidR="00E710BA">
        <w:t xml:space="preserve"> </w:t>
      </w:r>
      <w:r w:rsidR="00E710BA" w:rsidRPr="00E0086B">
        <w:t>We have the following observations and proposals</w:t>
      </w:r>
      <w:r w:rsidR="00E710BA">
        <w:t>:</w:t>
      </w:r>
    </w:p>
    <w:p w:rsidR="00AF0B61" w:rsidRDefault="00E57A85" w:rsidP="00E710BA">
      <w:pPr>
        <w:adjustRightInd w:val="0"/>
        <w:snapToGrid w:val="0"/>
        <w:spacing w:before="180" w:after="120"/>
        <w:jc w:val="both"/>
      </w:pPr>
      <w:r>
        <w:fldChar w:fldCharType="begin"/>
      </w:r>
      <w:r w:rsidR="00944D7F">
        <w:instrText xml:space="preserve"> REF _Ref21077807 \h </w:instrText>
      </w:r>
      <w:r>
        <w:fldChar w:fldCharType="separate"/>
      </w:r>
      <w:r w:rsidR="00B30138" w:rsidRPr="007D339C">
        <w:rPr>
          <w:rFonts w:ascii="Calibri" w:eastAsia="SimSun" w:hAnsi="Calibri" w:cs="Arial"/>
          <w:b/>
          <w:bCs/>
        </w:rPr>
        <w:t xml:space="preserve">Observation </w:t>
      </w:r>
      <w:r w:rsidR="00B30138">
        <w:rPr>
          <w:rFonts w:ascii="Calibri" w:eastAsia="SimSun" w:hAnsi="Calibri" w:cs="Arial"/>
          <w:b/>
          <w:bCs/>
          <w:noProof/>
        </w:rPr>
        <w:t>1</w:t>
      </w:r>
      <w:r w:rsidR="00B30138" w:rsidRPr="007D339C">
        <w:rPr>
          <w:rFonts w:ascii="Calibri" w:eastAsia="SimSun" w:hAnsi="Calibri" w:cs="Arial"/>
          <w:b/>
          <w:bCs/>
        </w:rPr>
        <w:t xml:space="preserve">: </w:t>
      </w:r>
      <w:r w:rsidR="00B30138">
        <w:rPr>
          <w:b/>
        </w:rPr>
        <w:t>It is not practical to rely on UE detection for the presence of SSB to extend the measurement/evaluation period under low SNR condition</w:t>
      </w:r>
      <w:r w:rsidR="00B30138" w:rsidRPr="00CC44E3">
        <w:rPr>
          <w:b/>
        </w:rPr>
        <w:t>.</w:t>
      </w:r>
      <w:r>
        <w:fldChar w:fldCharType="end"/>
      </w:r>
    </w:p>
    <w:p w:rsidR="00944D7F" w:rsidRPr="00944D7F" w:rsidRDefault="00E57A85" w:rsidP="00E710BA">
      <w:pPr>
        <w:adjustRightInd w:val="0"/>
        <w:snapToGrid w:val="0"/>
        <w:spacing w:before="180" w:after="120"/>
        <w:jc w:val="both"/>
        <w:rPr>
          <w:b/>
        </w:rPr>
      </w:pPr>
      <w:r w:rsidRPr="00944D7F">
        <w:rPr>
          <w:b/>
        </w:rPr>
        <w:fldChar w:fldCharType="begin"/>
      </w:r>
      <w:r w:rsidR="00944D7F" w:rsidRPr="00944D7F">
        <w:rPr>
          <w:b/>
        </w:rPr>
        <w:instrText xml:space="preserve"> REF _Ref24003451 \h </w:instrText>
      </w:r>
      <w:r w:rsidR="00944D7F">
        <w:rPr>
          <w:b/>
        </w:rPr>
        <w:instrText xml:space="preserve"> \* MERGEFORMAT </w:instrText>
      </w:r>
      <w:r w:rsidRPr="00944D7F">
        <w:rPr>
          <w:b/>
        </w:rPr>
      </w:r>
      <w:r w:rsidRPr="00944D7F">
        <w:rPr>
          <w:b/>
        </w:rPr>
        <w:fldChar w:fldCharType="separate"/>
      </w:r>
      <w:r w:rsidR="00B30138" w:rsidRPr="00B30138">
        <w:rPr>
          <w:rFonts w:ascii="Calibri" w:eastAsia="SimSun" w:hAnsi="Calibri" w:cs="Arial"/>
          <w:b/>
          <w:bCs/>
        </w:rPr>
        <w:t xml:space="preserve">Proposal </w:t>
      </w:r>
      <w:r w:rsidR="00B30138" w:rsidRPr="00B30138">
        <w:rPr>
          <w:rFonts w:ascii="Calibri" w:eastAsia="SimSun" w:hAnsi="Calibri" w:cs="Arial"/>
          <w:b/>
          <w:bCs/>
          <w:noProof/>
        </w:rPr>
        <w:t>1</w:t>
      </w:r>
      <w:r w:rsidR="00B30138" w:rsidRPr="00B30138">
        <w:rPr>
          <w:rFonts w:ascii="Calibri" w:eastAsia="SimSun" w:hAnsi="Calibri" w:cs="Arial"/>
          <w:b/>
          <w:bCs/>
        </w:rPr>
        <w:t>: For SNR&lt;X dB, UE is not able to detect the presence of SSB; for SNR&gt;Y dB, UE may be able to detect the presence of SSB. FFS value of X and Y.</w:t>
      </w:r>
      <w:r w:rsidRPr="00944D7F">
        <w:rPr>
          <w:b/>
        </w:rPr>
        <w:fldChar w:fldCharType="end"/>
      </w:r>
    </w:p>
    <w:p w:rsidR="00944D7F" w:rsidRDefault="00E57A85" w:rsidP="00E710BA">
      <w:pPr>
        <w:adjustRightInd w:val="0"/>
        <w:snapToGrid w:val="0"/>
        <w:spacing w:before="180" w:after="120"/>
        <w:jc w:val="both"/>
      </w:pPr>
      <w:r>
        <w:fldChar w:fldCharType="begin"/>
      </w:r>
      <w:r w:rsidR="00944D7F">
        <w:instrText xml:space="preserve"> REF _Ref24003435 \h </w:instrText>
      </w:r>
      <w:r>
        <w:fldChar w:fldCharType="separate"/>
      </w:r>
      <w:r w:rsidR="00B30138" w:rsidRPr="007D339C">
        <w:rPr>
          <w:rFonts w:ascii="Calibri" w:eastAsia="SimSun" w:hAnsi="Calibri" w:cs="Arial"/>
          <w:b/>
          <w:bCs/>
        </w:rPr>
        <w:t xml:space="preserve">Observation </w:t>
      </w:r>
      <w:r w:rsidR="00B30138">
        <w:rPr>
          <w:rFonts w:ascii="Calibri" w:eastAsia="SimSun" w:hAnsi="Calibri" w:cs="Arial"/>
          <w:b/>
          <w:bCs/>
          <w:noProof/>
        </w:rPr>
        <w:t>2</w:t>
      </w:r>
      <w:r w:rsidR="00B30138" w:rsidRPr="007D339C">
        <w:rPr>
          <w:rFonts w:ascii="Calibri" w:eastAsia="SimSun" w:hAnsi="Calibri" w:cs="Arial"/>
          <w:b/>
          <w:bCs/>
        </w:rPr>
        <w:t xml:space="preserve">: </w:t>
      </w:r>
      <w:r w:rsidR="00B30138">
        <w:rPr>
          <w:b/>
        </w:rPr>
        <w:t xml:space="preserve">Advanced UEs could send out OOS indications </w:t>
      </w:r>
      <w:r w:rsidR="00B30138" w:rsidRPr="00A5736C">
        <w:rPr>
          <w:b/>
        </w:rPr>
        <w:t xml:space="preserve">earlier than </w:t>
      </w:r>
      <w:r w:rsidR="00B30138">
        <w:rPr>
          <w:b/>
        </w:rPr>
        <w:t>the entire</w:t>
      </w:r>
      <w:r w:rsidR="00B30138" w:rsidRPr="00A5736C">
        <w:rPr>
          <w:b/>
        </w:rPr>
        <w:t xml:space="preserve"> OOS evaluation period</w:t>
      </w:r>
      <w:r w:rsidR="00B30138">
        <w:rPr>
          <w:b/>
        </w:rPr>
        <w:t>.</w:t>
      </w:r>
      <w:r>
        <w:fldChar w:fldCharType="end"/>
      </w:r>
    </w:p>
    <w:p w:rsidR="00944D7F" w:rsidRDefault="00E57A85" w:rsidP="00E710BA">
      <w:pPr>
        <w:adjustRightInd w:val="0"/>
        <w:snapToGrid w:val="0"/>
        <w:spacing w:before="180" w:after="120"/>
        <w:jc w:val="both"/>
      </w:pPr>
      <w:r>
        <w:fldChar w:fldCharType="begin"/>
      </w:r>
      <w:r w:rsidR="00944D7F">
        <w:instrText xml:space="preserve"> REF _Ref24003456 \h </w:instrText>
      </w:r>
      <w:r>
        <w:fldChar w:fldCharType="separate"/>
      </w:r>
      <w:r w:rsidR="00B30138" w:rsidRPr="003D1393">
        <w:rPr>
          <w:rFonts w:ascii="Calibri" w:eastAsia="SimSun" w:hAnsi="Calibri" w:cs="Arial"/>
          <w:b/>
          <w:bCs/>
        </w:rPr>
        <w:t xml:space="preserve">Proposal </w:t>
      </w:r>
      <w:r w:rsidR="00B30138">
        <w:rPr>
          <w:rFonts w:ascii="Calibri" w:eastAsia="SimSun" w:hAnsi="Calibri" w:cs="Arial"/>
          <w:b/>
          <w:bCs/>
          <w:noProof/>
        </w:rPr>
        <w:t>2</w:t>
      </w:r>
      <w:r w:rsidR="00B30138" w:rsidRPr="003D1393">
        <w:rPr>
          <w:rFonts w:ascii="Calibri" w:eastAsia="SimSun" w:hAnsi="Calibri" w:cs="Arial"/>
          <w:b/>
          <w:bCs/>
        </w:rPr>
        <w:t>:</w:t>
      </w:r>
      <w:r w:rsidR="00B30138" w:rsidRPr="003D1393">
        <w:rPr>
          <w:b/>
          <w:lang w:val="en-GB"/>
        </w:rPr>
        <w:t xml:space="preserve"> </w:t>
      </w:r>
      <w:r w:rsidR="00B30138">
        <w:rPr>
          <w:b/>
        </w:rPr>
        <w:t xml:space="preserve">As minimum requirement, </w:t>
      </w:r>
      <w:r w:rsidR="00B30138" w:rsidRPr="008B559D">
        <w:rPr>
          <w:b/>
        </w:rPr>
        <w:t>the OOS evaluation is scaled up by a fixed scaling factor (e.g. 2)</w:t>
      </w:r>
      <w:r w:rsidR="00B30138">
        <w:rPr>
          <w:b/>
        </w:rPr>
        <w:t xml:space="preserve">, and </w:t>
      </w:r>
      <w:r w:rsidR="00B30138" w:rsidRPr="008B559D">
        <w:rPr>
          <w:b/>
        </w:rPr>
        <w:t xml:space="preserve">it should allow </w:t>
      </w:r>
      <w:r w:rsidR="00B30138">
        <w:rPr>
          <w:b/>
        </w:rPr>
        <w:t>UE to indicate</w:t>
      </w:r>
      <w:r w:rsidR="00B30138" w:rsidRPr="008B559D">
        <w:rPr>
          <w:b/>
        </w:rPr>
        <w:t xml:space="preserve"> </w:t>
      </w:r>
      <w:r w:rsidR="00B30138">
        <w:rPr>
          <w:b/>
        </w:rPr>
        <w:t xml:space="preserve">OOS indicate earlier than the entire of </w:t>
      </w:r>
      <w:r w:rsidR="00B30138" w:rsidRPr="008B559D">
        <w:rPr>
          <w:b/>
        </w:rPr>
        <w:t>OOS evaluation period.</w:t>
      </w:r>
      <w:r>
        <w:fldChar w:fldCharType="end"/>
      </w:r>
    </w:p>
    <w:p w:rsidR="00944D7F" w:rsidRDefault="00E57A85" w:rsidP="00E710BA">
      <w:pPr>
        <w:adjustRightInd w:val="0"/>
        <w:snapToGrid w:val="0"/>
        <w:spacing w:before="180" w:after="120"/>
        <w:jc w:val="both"/>
      </w:pPr>
      <w:r>
        <w:fldChar w:fldCharType="begin"/>
      </w:r>
      <w:r w:rsidR="00944D7F">
        <w:instrText xml:space="preserve"> REF _Ref24003439 \h </w:instrText>
      </w:r>
      <w:r>
        <w:fldChar w:fldCharType="separate"/>
      </w:r>
      <w:r w:rsidR="00B30138" w:rsidRPr="007D339C">
        <w:rPr>
          <w:rFonts w:ascii="Calibri" w:eastAsia="SimSun" w:hAnsi="Calibri" w:cs="Arial"/>
          <w:b/>
          <w:bCs/>
        </w:rPr>
        <w:t xml:space="preserve">Observation </w:t>
      </w:r>
      <w:r w:rsidR="00B30138">
        <w:rPr>
          <w:rFonts w:ascii="Calibri" w:eastAsia="SimSun" w:hAnsi="Calibri" w:cs="Arial"/>
          <w:b/>
          <w:bCs/>
          <w:noProof/>
        </w:rPr>
        <w:t>3</w:t>
      </w:r>
      <w:r w:rsidR="00B30138" w:rsidRPr="007D339C">
        <w:rPr>
          <w:rFonts w:ascii="Calibri" w:eastAsia="SimSun" w:hAnsi="Calibri" w:cs="Arial"/>
          <w:b/>
          <w:bCs/>
        </w:rPr>
        <w:t xml:space="preserve">: </w:t>
      </w:r>
      <w:r w:rsidR="00B30138" w:rsidRPr="00ED1803">
        <w:rPr>
          <w:b/>
          <w:lang w:val="en-GB"/>
        </w:rPr>
        <w:t xml:space="preserve">UE </w:t>
      </w:r>
      <w:r w:rsidR="00B30138">
        <w:rPr>
          <w:b/>
          <w:lang w:val="en-GB"/>
        </w:rPr>
        <w:t>can</w:t>
      </w:r>
      <w:r w:rsidR="00B30138" w:rsidRPr="00ED1803">
        <w:rPr>
          <w:b/>
          <w:lang w:val="en-GB"/>
        </w:rPr>
        <w:t xml:space="preserve"> keep indicating INS</w:t>
      </w:r>
      <w:r w:rsidR="00B30138">
        <w:rPr>
          <w:b/>
          <w:lang w:val="en-GB"/>
        </w:rPr>
        <w:t xml:space="preserve"> when the INS evaluation is extended</w:t>
      </w:r>
      <w:r w:rsidR="00B30138" w:rsidRPr="00ED1803">
        <w:rPr>
          <w:b/>
          <w:lang w:val="en-GB"/>
        </w:rPr>
        <w:t xml:space="preserve">, </w:t>
      </w:r>
      <w:r w:rsidR="00B30138">
        <w:rPr>
          <w:b/>
          <w:lang w:val="en-GB"/>
        </w:rPr>
        <w:t>when the SSB is not transmitted or the SSB is transmitted but under low SNR condition.</w:t>
      </w:r>
      <w:r>
        <w:fldChar w:fldCharType="end"/>
      </w:r>
    </w:p>
    <w:p w:rsidR="00944D7F" w:rsidRDefault="00E57A85" w:rsidP="00E710BA">
      <w:pPr>
        <w:adjustRightInd w:val="0"/>
        <w:snapToGrid w:val="0"/>
        <w:spacing w:before="180" w:after="120"/>
        <w:jc w:val="both"/>
      </w:pPr>
      <w:r>
        <w:fldChar w:fldCharType="begin"/>
      </w:r>
      <w:r w:rsidR="00944D7F">
        <w:instrText xml:space="preserve"> REF _Ref21077823 \h </w:instrText>
      </w:r>
      <w:r>
        <w:fldChar w:fldCharType="separate"/>
      </w:r>
      <w:r w:rsidR="00B30138" w:rsidRPr="003D1393">
        <w:rPr>
          <w:rFonts w:ascii="Calibri" w:eastAsia="SimSun" w:hAnsi="Calibri" w:cs="Arial"/>
          <w:b/>
          <w:bCs/>
        </w:rPr>
        <w:t xml:space="preserve">Proposal </w:t>
      </w:r>
      <w:r w:rsidR="00B30138">
        <w:rPr>
          <w:rFonts w:ascii="Calibri" w:eastAsia="SimSun" w:hAnsi="Calibri" w:cs="Arial"/>
          <w:b/>
          <w:bCs/>
          <w:noProof/>
        </w:rPr>
        <w:t>3</w:t>
      </w:r>
      <w:r w:rsidR="00B30138" w:rsidRPr="003D1393">
        <w:rPr>
          <w:rFonts w:ascii="Calibri" w:eastAsia="SimSun" w:hAnsi="Calibri" w:cs="Arial"/>
          <w:b/>
          <w:bCs/>
        </w:rPr>
        <w:t>:</w:t>
      </w:r>
      <w:r w:rsidR="00B30138" w:rsidRPr="003D1393">
        <w:rPr>
          <w:b/>
          <w:lang w:val="en-GB"/>
        </w:rPr>
        <w:t xml:space="preserve"> </w:t>
      </w:r>
      <w:r w:rsidR="00B30138" w:rsidRPr="00F747C2">
        <w:rPr>
          <w:rFonts w:ascii="Calibri" w:hAnsi="Calibri"/>
          <w:b/>
        </w:rPr>
        <w:t>The L</w:t>
      </w:r>
      <w:r w:rsidR="00B30138" w:rsidRPr="00F747C2">
        <w:rPr>
          <w:rFonts w:ascii="Calibri" w:hAnsi="Calibri"/>
          <w:b/>
          <w:vertAlign w:val="subscript"/>
        </w:rPr>
        <w:t xml:space="preserve">in,max </w:t>
      </w:r>
      <w:r w:rsidR="00B30138" w:rsidRPr="00F747C2">
        <w:rPr>
          <w:rFonts w:ascii="Calibri" w:hAnsi="Calibri"/>
          <w:b/>
        </w:rPr>
        <w:t>*T</w:t>
      </w:r>
      <w:r w:rsidR="00B30138" w:rsidRPr="00F747C2">
        <w:rPr>
          <w:rFonts w:ascii="Calibri" w:hAnsi="Calibri"/>
          <w:b/>
          <w:vertAlign w:val="subscript"/>
        </w:rPr>
        <w:t>SSB</w:t>
      </w:r>
      <w:r w:rsidR="00B30138" w:rsidRPr="00F747C2">
        <w:rPr>
          <w:rFonts w:ascii="Calibri" w:hAnsi="Calibri"/>
          <w:b/>
        </w:rPr>
        <w:t xml:space="preserve"> should be shorter that the OOS evaluation period.</w:t>
      </w:r>
      <w:r>
        <w:fldChar w:fldCharType="end"/>
      </w:r>
    </w:p>
    <w:p w:rsidR="00944D7F" w:rsidRDefault="00E57A85" w:rsidP="00E710BA">
      <w:pPr>
        <w:adjustRightInd w:val="0"/>
        <w:snapToGrid w:val="0"/>
        <w:spacing w:before="180" w:after="120"/>
        <w:jc w:val="both"/>
      </w:pPr>
      <w:r>
        <w:fldChar w:fldCharType="begin"/>
      </w:r>
      <w:r w:rsidR="00944D7F">
        <w:instrText xml:space="preserve"> REF _Ref21077817 \h </w:instrText>
      </w:r>
      <w:r>
        <w:fldChar w:fldCharType="separate"/>
      </w:r>
      <w:r w:rsidR="00B30138" w:rsidRPr="009E46E1">
        <w:rPr>
          <w:rFonts w:ascii="Calibri" w:eastAsia="SimSun" w:hAnsi="Calibri" w:cs="Arial"/>
          <w:b/>
          <w:bCs/>
        </w:rPr>
        <w:t xml:space="preserve">Proposal </w:t>
      </w:r>
      <w:r w:rsidR="00B30138">
        <w:rPr>
          <w:rFonts w:ascii="Calibri" w:eastAsia="SimSun" w:hAnsi="Calibri" w:cs="Arial"/>
          <w:b/>
          <w:bCs/>
          <w:noProof/>
        </w:rPr>
        <w:t>4</w:t>
      </w:r>
      <w:r w:rsidR="00B30138" w:rsidRPr="009E46E1">
        <w:rPr>
          <w:rFonts w:ascii="Calibri" w:eastAsia="SimSun" w:hAnsi="Calibri" w:cs="Arial"/>
          <w:b/>
          <w:bCs/>
        </w:rPr>
        <w:t>:</w:t>
      </w:r>
      <w:r w:rsidR="00B30138" w:rsidRPr="009E46E1">
        <w:rPr>
          <w:b/>
          <w:lang w:val="en-GB"/>
        </w:rPr>
        <w:t xml:space="preserve"> Not to extend the indication period of out-of-sync and in-sync due to the missing DRS occasions.</w:t>
      </w:r>
      <w: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241AAA" w:rsidRPr="00241AAA" w:rsidRDefault="00ED7C55" w:rsidP="00241AAA">
      <w:pPr>
        <w:rPr>
          <w:lang w:eastAsia="en-US"/>
        </w:rPr>
      </w:pPr>
      <w:r w:rsidRPr="00ED7C55">
        <w:rPr>
          <w:lang w:val="en-GB" w:eastAsia="en-US"/>
        </w:rPr>
        <w:t xml:space="preserve">[1] </w:t>
      </w:r>
      <w:r w:rsidR="00C116A6" w:rsidRPr="00C116A6">
        <w:rPr>
          <w:lang w:val="en-GB" w:eastAsia="en-US"/>
        </w:rPr>
        <w:t>R4-1912664</w:t>
      </w:r>
      <w:r w:rsidR="00C116A6">
        <w:rPr>
          <w:lang w:val="en-GB" w:eastAsia="en-US"/>
        </w:rPr>
        <w:t xml:space="preserve">, </w:t>
      </w:r>
      <w:r w:rsidR="00241AAA" w:rsidRPr="00241AAA">
        <w:rPr>
          <w:lang w:eastAsia="en-US"/>
        </w:rPr>
        <w:t>WF on RRM Requirements for NR-U</w:t>
      </w:r>
      <w:r w:rsidR="00241AAA">
        <w:rPr>
          <w:lang w:eastAsia="en-US"/>
        </w:rPr>
        <w:t xml:space="preserve">, </w:t>
      </w:r>
      <w:r w:rsidR="00241AAA" w:rsidRPr="00241AAA">
        <w:rPr>
          <w:lang w:eastAsia="en-US"/>
        </w:rPr>
        <w:t>Ericsson</w:t>
      </w:r>
      <w:r w:rsidR="00241AAA">
        <w:rPr>
          <w:lang w:eastAsia="en-US"/>
        </w:rPr>
        <w:t>.</w:t>
      </w:r>
    </w:p>
    <w:p w:rsidR="00186BC3" w:rsidRDefault="00186BC3">
      <w:pPr>
        <w:spacing w:after="0" w:line="240" w:lineRule="auto"/>
        <w:rPr>
          <w:lang w:eastAsia="en-US"/>
        </w:rPr>
      </w:pPr>
    </w:p>
    <w:p w:rsidR="00F747C2" w:rsidRDefault="00F747C2">
      <w:pPr>
        <w:spacing w:after="0" w:line="240" w:lineRule="auto"/>
        <w:rPr>
          <w:rFonts w:ascii="Calibri" w:eastAsia="SimSun" w:hAnsi="Calibri" w:cs="Times New Roman"/>
          <w:sz w:val="36"/>
          <w:szCs w:val="20"/>
          <w:lang w:val="en-GB" w:eastAsia="en-US"/>
        </w:rPr>
      </w:pPr>
      <w:r>
        <w:rPr>
          <w:rFonts w:ascii="Calibri" w:hAnsi="Calibri"/>
        </w:rPr>
        <w:br w:type="page"/>
      </w:r>
    </w:p>
    <w:p w:rsidR="00186BC3" w:rsidRDefault="00186BC3" w:rsidP="00186BC3">
      <w:pPr>
        <w:pStyle w:val="1"/>
        <w:rPr>
          <w:rFonts w:ascii="Calibri" w:hAnsi="Calibri"/>
        </w:rPr>
      </w:pPr>
      <w:r>
        <w:rPr>
          <w:rFonts w:ascii="Calibri" w:hAnsi="Calibri"/>
        </w:rPr>
        <w:lastRenderedPageBreak/>
        <w:t>Appendix: Simulation Assumptions</w:t>
      </w:r>
    </w:p>
    <w:p w:rsidR="00186BC3" w:rsidRDefault="00186BC3" w:rsidP="00186BC3">
      <w:pPr>
        <w:rPr>
          <w:lang w:val="en-GB" w:eastAsia="en-US"/>
        </w:rPr>
      </w:pPr>
    </w:p>
    <w:p w:rsidR="00DA30B7" w:rsidRPr="00186BC3" w:rsidRDefault="00DA30B7" w:rsidP="00DA30B7">
      <w:pPr>
        <w:jc w:val="center"/>
        <w:rPr>
          <w:lang w:val="en-GB" w:eastAsia="en-US"/>
        </w:rPr>
      </w:pPr>
      <w:r>
        <w:rPr>
          <w:lang w:val="en-GB" w:eastAsia="en-US"/>
        </w:rPr>
        <w:t>Table A.1: Simulation Parameters</w:t>
      </w:r>
    </w:p>
    <w:tbl>
      <w:tblPr>
        <w:tblW w:w="5670" w:type="dxa"/>
        <w:tblInd w:w="2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10"/>
        <w:gridCol w:w="3260"/>
      </w:tblGrid>
      <w:tr w:rsidR="00123998" w:rsidRPr="00123998" w:rsidTr="00123998">
        <w:trPr>
          <w:trHeight w:val="584"/>
        </w:trPr>
        <w:tc>
          <w:tcPr>
            <w:tcW w:w="2410" w:type="dxa"/>
            <w:shd w:val="clear" w:color="auto" w:fill="4F81BD"/>
            <w:tcMar>
              <w:top w:w="72" w:type="dxa"/>
              <w:left w:w="144" w:type="dxa"/>
              <w:bottom w:w="72" w:type="dxa"/>
              <w:right w:w="144" w:type="dxa"/>
            </w:tcMar>
            <w:hideMark/>
          </w:tcPr>
          <w:p w:rsidR="00123998" w:rsidRPr="00123998" w:rsidRDefault="00123998" w:rsidP="00123998">
            <w:pPr>
              <w:rPr>
                <w:lang w:eastAsia="en-US"/>
              </w:rPr>
            </w:pPr>
            <w:r w:rsidRPr="00123998">
              <w:rPr>
                <w:b/>
                <w:bCs/>
                <w:lang w:val="sv-SE" w:eastAsia="en-US"/>
              </w:rPr>
              <w:t>Parameters</w:t>
            </w:r>
          </w:p>
        </w:tc>
        <w:tc>
          <w:tcPr>
            <w:tcW w:w="3260" w:type="dxa"/>
            <w:shd w:val="clear" w:color="auto" w:fill="4F81BD"/>
            <w:tcMar>
              <w:top w:w="72" w:type="dxa"/>
              <w:left w:w="144" w:type="dxa"/>
              <w:bottom w:w="72" w:type="dxa"/>
              <w:right w:w="144" w:type="dxa"/>
            </w:tcMar>
            <w:hideMark/>
          </w:tcPr>
          <w:p w:rsidR="00123998" w:rsidRPr="00123998" w:rsidRDefault="00123998" w:rsidP="00123998">
            <w:pPr>
              <w:rPr>
                <w:lang w:eastAsia="en-US"/>
              </w:rPr>
            </w:pPr>
            <w:r w:rsidRPr="00123998">
              <w:rPr>
                <w:b/>
                <w:bCs/>
                <w:lang w:val="sv-SE" w:eastAsia="en-US"/>
              </w:rPr>
              <w:t>Value</w:t>
            </w:r>
          </w:p>
        </w:tc>
      </w:tr>
      <w:tr w:rsidR="00260187" w:rsidRPr="00123998" w:rsidTr="00123998">
        <w:trPr>
          <w:trHeight w:val="584"/>
        </w:trPr>
        <w:tc>
          <w:tcPr>
            <w:tcW w:w="2410" w:type="dxa"/>
            <w:shd w:val="clear" w:color="auto" w:fill="D0D8E8"/>
            <w:tcMar>
              <w:top w:w="72" w:type="dxa"/>
              <w:left w:w="144" w:type="dxa"/>
              <w:bottom w:w="72" w:type="dxa"/>
              <w:right w:w="144" w:type="dxa"/>
            </w:tcMar>
          </w:tcPr>
          <w:p w:rsidR="00260187" w:rsidRPr="00123998" w:rsidRDefault="00260187" w:rsidP="00260187">
            <w:pPr>
              <w:rPr>
                <w:lang w:eastAsia="en-US"/>
              </w:rPr>
            </w:pPr>
            <w:r>
              <w:rPr>
                <w:lang w:eastAsia="en-US"/>
              </w:rPr>
              <w:t>Deployment</w:t>
            </w:r>
          </w:p>
        </w:tc>
        <w:tc>
          <w:tcPr>
            <w:tcW w:w="3260" w:type="dxa"/>
            <w:shd w:val="clear" w:color="auto" w:fill="D0D8E8"/>
            <w:tcMar>
              <w:top w:w="72" w:type="dxa"/>
              <w:left w:w="144" w:type="dxa"/>
              <w:bottom w:w="72" w:type="dxa"/>
              <w:right w:w="144" w:type="dxa"/>
            </w:tcMar>
          </w:tcPr>
          <w:p w:rsidR="00260187" w:rsidRPr="00123998" w:rsidRDefault="00260187" w:rsidP="00260187">
            <w:pPr>
              <w:rPr>
                <w:lang w:eastAsia="en-US"/>
              </w:rPr>
            </w:pPr>
            <w:r>
              <w:rPr>
                <w:lang w:eastAsia="en-US"/>
              </w:rPr>
              <w:t>Single cell</w:t>
            </w:r>
          </w:p>
        </w:tc>
      </w:tr>
      <w:tr w:rsidR="00260187" w:rsidRPr="00123998" w:rsidTr="00123998">
        <w:trPr>
          <w:trHeight w:val="584"/>
        </w:trPr>
        <w:tc>
          <w:tcPr>
            <w:tcW w:w="2410" w:type="dxa"/>
            <w:shd w:val="clear" w:color="auto" w:fill="D0D8E8"/>
            <w:tcMar>
              <w:top w:w="72" w:type="dxa"/>
              <w:left w:w="144" w:type="dxa"/>
              <w:bottom w:w="72" w:type="dxa"/>
              <w:right w:w="144" w:type="dxa"/>
            </w:tcMar>
            <w:hideMark/>
          </w:tcPr>
          <w:p w:rsidR="00260187" w:rsidRPr="00123998" w:rsidRDefault="00260187" w:rsidP="00260187">
            <w:pPr>
              <w:rPr>
                <w:lang w:eastAsia="en-US"/>
              </w:rPr>
            </w:pPr>
            <w:r w:rsidRPr="00123998">
              <w:rPr>
                <w:lang w:val="sv-SE" w:eastAsia="en-US"/>
              </w:rPr>
              <w:t>SCS</w:t>
            </w:r>
          </w:p>
        </w:tc>
        <w:tc>
          <w:tcPr>
            <w:tcW w:w="3260" w:type="dxa"/>
            <w:shd w:val="clear" w:color="auto" w:fill="D0D8E8"/>
            <w:tcMar>
              <w:top w:w="72" w:type="dxa"/>
              <w:left w:w="144" w:type="dxa"/>
              <w:bottom w:w="72" w:type="dxa"/>
              <w:right w:w="144" w:type="dxa"/>
            </w:tcMar>
            <w:hideMark/>
          </w:tcPr>
          <w:p w:rsidR="00260187" w:rsidRPr="00123998" w:rsidRDefault="00260187" w:rsidP="00260187">
            <w:pPr>
              <w:rPr>
                <w:lang w:eastAsia="en-US"/>
              </w:rPr>
            </w:pPr>
            <w:r>
              <w:rPr>
                <w:lang w:val="sv-SE" w:eastAsia="en-US"/>
              </w:rPr>
              <w:t>30 kHz</w:t>
            </w:r>
          </w:p>
        </w:tc>
      </w:tr>
      <w:tr w:rsidR="00260187" w:rsidRPr="00123998" w:rsidTr="00260187">
        <w:trPr>
          <w:trHeight w:val="584"/>
        </w:trPr>
        <w:tc>
          <w:tcPr>
            <w:tcW w:w="2410" w:type="dxa"/>
            <w:shd w:val="clear" w:color="auto" w:fill="E9EDF4"/>
            <w:tcMar>
              <w:top w:w="72" w:type="dxa"/>
              <w:left w:w="144" w:type="dxa"/>
              <w:bottom w:w="72" w:type="dxa"/>
              <w:right w:w="144" w:type="dxa"/>
            </w:tcMar>
          </w:tcPr>
          <w:p w:rsidR="00260187" w:rsidRDefault="00260187" w:rsidP="00260187">
            <w:pPr>
              <w:rPr>
                <w:lang w:val="sv-SE" w:eastAsia="en-US"/>
              </w:rPr>
            </w:pPr>
            <w:r>
              <w:rPr>
                <w:lang w:val="sv-SE" w:eastAsia="en-US"/>
              </w:rPr>
              <w:t>SNR range</w:t>
            </w:r>
          </w:p>
        </w:tc>
        <w:tc>
          <w:tcPr>
            <w:tcW w:w="3260" w:type="dxa"/>
            <w:shd w:val="clear" w:color="auto" w:fill="E9EDF4"/>
            <w:tcMar>
              <w:top w:w="72" w:type="dxa"/>
              <w:left w:w="144" w:type="dxa"/>
              <w:bottom w:w="72" w:type="dxa"/>
              <w:right w:w="144" w:type="dxa"/>
            </w:tcMar>
          </w:tcPr>
          <w:p w:rsidR="00260187" w:rsidRPr="00123998" w:rsidRDefault="00260187" w:rsidP="00260187">
            <w:pPr>
              <w:rPr>
                <w:lang w:val="sv-SE" w:eastAsia="en-US"/>
              </w:rPr>
            </w:pPr>
            <w:r>
              <w:rPr>
                <w:lang w:val="sv-SE" w:eastAsia="en-US"/>
              </w:rPr>
              <w:t>-15dB ~ 0dB</w:t>
            </w:r>
          </w:p>
        </w:tc>
      </w:tr>
      <w:tr w:rsidR="00260187" w:rsidRPr="00123998" w:rsidTr="00123998">
        <w:trPr>
          <w:trHeight w:val="584"/>
        </w:trPr>
        <w:tc>
          <w:tcPr>
            <w:tcW w:w="2410" w:type="dxa"/>
            <w:shd w:val="clear" w:color="auto" w:fill="E9EDF4"/>
            <w:tcMar>
              <w:top w:w="72" w:type="dxa"/>
              <w:left w:w="144" w:type="dxa"/>
              <w:bottom w:w="72" w:type="dxa"/>
              <w:right w:w="144" w:type="dxa"/>
            </w:tcMar>
          </w:tcPr>
          <w:p w:rsidR="00260187" w:rsidRPr="00123998" w:rsidRDefault="00260187" w:rsidP="00260187">
            <w:pPr>
              <w:rPr>
                <w:lang w:eastAsia="en-US"/>
              </w:rPr>
            </w:pPr>
            <w:r>
              <w:rPr>
                <w:lang w:val="sv-SE" w:eastAsia="en-US"/>
              </w:rPr>
              <w:t>Noc level</w:t>
            </w:r>
          </w:p>
        </w:tc>
        <w:tc>
          <w:tcPr>
            <w:tcW w:w="3260" w:type="dxa"/>
            <w:shd w:val="clear" w:color="auto" w:fill="E9EDF4"/>
            <w:tcMar>
              <w:top w:w="72" w:type="dxa"/>
              <w:left w:w="144" w:type="dxa"/>
              <w:bottom w:w="72" w:type="dxa"/>
              <w:right w:w="144" w:type="dxa"/>
            </w:tcMar>
          </w:tcPr>
          <w:p w:rsidR="00260187" w:rsidRPr="00260187" w:rsidRDefault="00260187" w:rsidP="00260187">
            <w:pPr>
              <w:rPr>
                <w:lang w:val="sv-SE" w:eastAsia="en-US"/>
              </w:rPr>
            </w:pPr>
            <w:r w:rsidRPr="00260187">
              <w:rPr>
                <w:lang w:val="sv-SE" w:eastAsia="en-US"/>
              </w:rPr>
              <w:t>-100dBm/15kHz</w:t>
            </w:r>
            <w:r>
              <w:rPr>
                <w:lang w:val="sv-SE" w:eastAsia="en-US"/>
              </w:rPr>
              <w:t xml:space="preserve">; - </w:t>
            </w:r>
            <w:r w:rsidRPr="00260187">
              <w:rPr>
                <w:lang w:val="sv-SE" w:eastAsia="en-US"/>
              </w:rPr>
              <w:t>97dBm/30kHz</w:t>
            </w:r>
          </w:p>
        </w:tc>
      </w:tr>
      <w:tr w:rsidR="00260187" w:rsidRPr="00123998" w:rsidTr="00123998">
        <w:trPr>
          <w:trHeight w:val="584"/>
        </w:trPr>
        <w:tc>
          <w:tcPr>
            <w:tcW w:w="2410" w:type="dxa"/>
            <w:shd w:val="clear" w:color="auto" w:fill="E9EDF4"/>
            <w:tcMar>
              <w:top w:w="72" w:type="dxa"/>
              <w:left w:w="144" w:type="dxa"/>
              <w:bottom w:w="72" w:type="dxa"/>
              <w:right w:w="144" w:type="dxa"/>
            </w:tcMar>
            <w:hideMark/>
          </w:tcPr>
          <w:p w:rsidR="00260187" w:rsidRPr="00123998" w:rsidRDefault="00260187" w:rsidP="00260187">
            <w:pPr>
              <w:rPr>
                <w:lang w:eastAsia="en-US"/>
              </w:rPr>
            </w:pPr>
            <w:r w:rsidRPr="00123998">
              <w:rPr>
                <w:lang w:val="sv-SE" w:eastAsia="en-US"/>
              </w:rPr>
              <w:t>Number of samples (M)</w:t>
            </w:r>
          </w:p>
        </w:tc>
        <w:tc>
          <w:tcPr>
            <w:tcW w:w="3260" w:type="dxa"/>
            <w:shd w:val="clear" w:color="auto" w:fill="E9EDF4"/>
            <w:tcMar>
              <w:top w:w="72" w:type="dxa"/>
              <w:left w:w="144" w:type="dxa"/>
              <w:bottom w:w="72" w:type="dxa"/>
              <w:right w:w="144" w:type="dxa"/>
            </w:tcMar>
            <w:hideMark/>
          </w:tcPr>
          <w:p w:rsidR="00260187" w:rsidRPr="00123998" w:rsidRDefault="00260187" w:rsidP="00260187">
            <w:pPr>
              <w:rPr>
                <w:lang w:eastAsia="en-US"/>
              </w:rPr>
            </w:pPr>
            <w:r w:rsidRPr="00123998">
              <w:rPr>
                <w:lang w:val="sv-SE" w:eastAsia="en-US"/>
              </w:rPr>
              <w:t>1 (single sample measurement)</w:t>
            </w:r>
          </w:p>
        </w:tc>
      </w:tr>
      <w:tr w:rsidR="00260187" w:rsidRPr="00123998" w:rsidTr="00123998">
        <w:trPr>
          <w:trHeight w:val="584"/>
        </w:trPr>
        <w:tc>
          <w:tcPr>
            <w:tcW w:w="2410" w:type="dxa"/>
            <w:shd w:val="clear" w:color="auto" w:fill="E9EDF4"/>
            <w:tcMar>
              <w:top w:w="72" w:type="dxa"/>
              <w:left w:w="144" w:type="dxa"/>
              <w:bottom w:w="72" w:type="dxa"/>
              <w:right w:w="144" w:type="dxa"/>
            </w:tcMar>
            <w:hideMark/>
          </w:tcPr>
          <w:p w:rsidR="00260187" w:rsidRPr="00123998" w:rsidRDefault="00260187" w:rsidP="00260187">
            <w:pPr>
              <w:rPr>
                <w:lang w:eastAsia="en-US"/>
              </w:rPr>
            </w:pPr>
            <w:r w:rsidRPr="00123998">
              <w:rPr>
                <w:lang w:val="sv-SE" w:eastAsia="en-US"/>
              </w:rPr>
              <w:t>Propagation condition</w:t>
            </w:r>
          </w:p>
        </w:tc>
        <w:tc>
          <w:tcPr>
            <w:tcW w:w="3260" w:type="dxa"/>
            <w:shd w:val="clear" w:color="auto" w:fill="E9EDF4"/>
            <w:tcMar>
              <w:top w:w="72" w:type="dxa"/>
              <w:left w:w="144" w:type="dxa"/>
              <w:bottom w:w="72" w:type="dxa"/>
              <w:right w:w="144" w:type="dxa"/>
            </w:tcMar>
            <w:hideMark/>
          </w:tcPr>
          <w:p w:rsidR="00260187" w:rsidRPr="00123998" w:rsidRDefault="00260187" w:rsidP="00260187">
            <w:pPr>
              <w:spacing w:after="0" w:line="240" w:lineRule="auto"/>
              <w:rPr>
                <w:rFonts w:ascii="Calibri" w:eastAsia="新細明體" w:hAnsi="Calibri" w:cs="新細明體"/>
              </w:rPr>
            </w:pPr>
            <w:r w:rsidRPr="00123998">
              <w:rPr>
                <w:lang w:val="sv-SE" w:eastAsia="en-US"/>
              </w:rPr>
              <w:t>Fading channel (TDL-C 300ns 100Hz, as used in RLM test case)</w:t>
            </w:r>
          </w:p>
        </w:tc>
      </w:tr>
    </w:tbl>
    <w:p w:rsidR="00C80529" w:rsidRPr="00186BC3" w:rsidRDefault="00C80529" w:rsidP="00D63646">
      <w:pPr>
        <w:rPr>
          <w:lang w:val="en-GB" w:eastAsia="en-US"/>
        </w:rPr>
      </w:pPr>
    </w:p>
    <w:sectPr w:rsidR="00C80529" w:rsidRPr="00186BC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D32" w:rsidRDefault="00BA3D32">
      <w:r>
        <w:separator/>
      </w:r>
    </w:p>
  </w:endnote>
  <w:endnote w:type="continuationSeparator" w:id="0">
    <w:p w:rsidR="00BA3D32" w:rsidRDefault="00BA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D32" w:rsidRDefault="00BA3D32">
      <w:r>
        <w:separator/>
      </w:r>
    </w:p>
  </w:footnote>
  <w:footnote w:type="continuationSeparator" w:id="0">
    <w:p w:rsidR="00BA3D32" w:rsidRDefault="00BA3D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6291D44"/>
    <w:multiLevelType w:val="hybridMultilevel"/>
    <w:tmpl w:val="05EEE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4"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7"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16E4CD2"/>
    <w:multiLevelType w:val="hybridMultilevel"/>
    <w:tmpl w:val="B9A4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4"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8"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9"/>
  </w:num>
  <w:num w:numId="2">
    <w:abstractNumId w:val="41"/>
  </w:num>
  <w:num w:numId="3">
    <w:abstractNumId w:val="21"/>
  </w:num>
  <w:num w:numId="4">
    <w:abstractNumId w:val="28"/>
  </w:num>
  <w:num w:numId="5">
    <w:abstractNumId w:val="30"/>
  </w:num>
  <w:num w:numId="6">
    <w:abstractNumId w:val="8"/>
  </w:num>
  <w:num w:numId="7">
    <w:abstractNumId w:val="20"/>
  </w:num>
  <w:num w:numId="8">
    <w:abstractNumId w:val="37"/>
  </w:num>
  <w:num w:numId="9">
    <w:abstractNumId w:val="18"/>
  </w:num>
  <w:num w:numId="10">
    <w:abstractNumId w:val="0"/>
  </w:num>
  <w:num w:numId="11">
    <w:abstractNumId w:val="19"/>
  </w:num>
  <w:num w:numId="12">
    <w:abstractNumId w:val="24"/>
  </w:num>
  <w:num w:numId="13">
    <w:abstractNumId w:val="5"/>
  </w:num>
  <w:num w:numId="14">
    <w:abstractNumId w:val="48"/>
  </w:num>
  <w:num w:numId="15">
    <w:abstractNumId w:val="17"/>
  </w:num>
  <w:num w:numId="16">
    <w:abstractNumId w:val="7"/>
  </w:num>
  <w:num w:numId="17">
    <w:abstractNumId w:val="34"/>
  </w:num>
  <w:num w:numId="18">
    <w:abstractNumId w:val="46"/>
  </w:num>
  <w:num w:numId="19">
    <w:abstractNumId w:val="22"/>
  </w:num>
  <w:num w:numId="20">
    <w:abstractNumId w:val="12"/>
  </w:num>
  <w:num w:numId="21">
    <w:abstractNumId w:val="45"/>
  </w:num>
  <w:num w:numId="22">
    <w:abstractNumId w:val="35"/>
  </w:num>
  <w:num w:numId="23">
    <w:abstractNumId w:val="10"/>
  </w:num>
  <w:num w:numId="24">
    <w:abstractNumId w:val="6"/>
  </w:num>
  <w:num w:numId="25">
    <w:abstractNumId w:val="27"/>
  </w:num>
  <w:num w:numId="26">
    <w:abstractNumId w:val="43"/>
  </w:num>
  <w:num w:numId="27">
    <w:abstractNumId w:val="33"/>
  </w:num>
  <w:num w:numId="28">
    <w:abstractNumId w:val="25"/>
  </w:num>
  <w:num w:numId="29">
    <w:abstractNumId w:val="26"/>
  </w:num>
  <w:num w:numId="30">
    <w:abstractNumId w:val="13"/>
  </w:num>
  <w:num w:numId="31">
    <w:abstractNumId w:val="38"/>
  </w:num>
  <w:num w:numId="32">
    <w:abstractNumId w:val="23"/>
  </w:num>
  <w:num w:numId="33">
    <w:abstractNumId w:val="3"/>
  </w:num>
  <w:num w:numId="34">
    <w:abstractNumId w:val="29"/>
  </w:num>
  <w:num w:numId="35">
    <w:abstractNumId w:val="49"/>
  </w:num>
  <w:num w:numId="36">
    <w:abstractNumId w:val="36"/>
  </w:num>
  <w:num w:numId="37">
    <w:abstractNumId w:val="47"/>
  </w:num>
  <w:num w:numId="38">
    <w:abstractNumId w:val="4"/>
  </w:num>
  <w:num w:numId="39">
    <w:abstractNumId w:val="11"/>
  </w:num>
  <w:num w:numId="40">
    <w:abstractNumId w:val="44"/>
  </w:num>
  <w:num w:numId="41">
    <w:abstractNumId w:val="31"/>
  </w:num>
  <w:num w:numId="42">
    <w:abstractNumId w:val="2"/>
  </w:num>
  <w:num w:numId="43">
    <w:abstractNumId w:val="16"/>
  </w:num>
  <w:num w:numId="44">
    <w:abstractNumId w:val="9"/>
  </w:num>
  <w:num w:numId="45">
    <w:abstractNumId w:val="40"/>
  </w:num>
  <w:num w:numId="46">
    <w:abstractNumId w:val="1"/>
  </w:num>
  <w:num w:numId="47">
    <w:abstractNumId w:val="32"/>
  </w:num>
  <w:num w:numId="48">
    <w:abstractNumId w:val="15"/>
  </w:num>
  <w:num w:numId="49">
    <w:abstractNumId w:val="14"/>
  </w:num>
  <w:num w:numId="50">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6D42"/>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64E"/>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E6A"/>
    <w:rsid w:val="00067F0C"/>
    <w:rsid w:val="00070917"/>
    <w:rsid w:val="00070BE8"/>
    <w:rsid w:val="00070C66"/>
    <w:rsid w:val="00071020"/>
    <w:rsid w:val="00071072"/>
    <w:rsid w:val="000712C4"/>
    <w:rsid w:val="00071CD5"/>
    <w:rsid w:val="000727DB"/>
    <w:rsid w:val="00072E87"/>
    <w:rsid w:val="00073146"/>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132"/>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99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DE3"/>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6BD"/>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375"/>
    <w:rsid w:val="00185969"/>
    <w:rsid w:val="00186AD6"/>
    <w:rsid w:val="00186BC3"/>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9"/>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8F3"/>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187"/>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270"/>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6D4"/>
    <w:rsid w:val="002E0814"/>
    <w:rsid w:val="002E1108"/>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2DB"/>
    <w:rsid w:val="00344510"/>
    <w:rsid w:val="003447A5"/>
    <w:rsid w:val="00345022"/>
    <w:rsid w:val="00345F76"/>
    <w:rsid w:val="00346539"/>
    <w:rsid w:val="0034688E"/>
    <w:rsid w:val="00346A2E"/>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6E59"/>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CFB"/>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1403"/>
    <w:rsid w:val="0054246B"/>
    <w:rsid w:val="005424D2"/>
    <w:rsid w:val="005442D9"/>
    <w:rsid w:val="00544566"/>
    <w:rsid w:val="0054497E"/>
    <w:rsid w:val="005449FC"/>
    <w:rsid w:val="00544E42"/>
    <w:rsid w:val="00545075"/>
    <w:rsid w:val="00545276"/>
    <w:rsid w:val="005455BB"/>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3B"/>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2EA6"/>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C53"/>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9D"/>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67"/>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1DA0"/>
    <w:rsid w:val="00602FD6"/>
    <w:rsid w:val="00603167"/>
    <w:rsid w:val="00603492"/>
    <w:rsid w:val="006035AE"/>
    <w:rsid w:val="00603808"/>
    <w:rsid w:val="00603995"/>
    <w:rsid w:val="0060440B"/>
    <w:rsid w:val="0060454C"/>
    <w:rsid w:val="00604761"/>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1F9"/>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75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036"/>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94"/>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218"/>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1F6C"/>
    <w:rsid w:val="007821E8"/>
    <w:rsid w:val="0078241D"/>
    <w:rsid w:val="007826E7"/>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C84"/>
    <w:rsid w:val="007A6D08"/>
    <w:rsid w:val="007A6D6A"/>
    <w:rsid w:val="007A6EA1"/>
    <w:rsid w:val="007A6FDB"/>
    <w:rsid w:val="007A7FF4"/>
    <w:rsid w:val="007B0496"/>
    <w:rsid w:val="007B0776"/>
    <w:rsid w:val="007B0F99"/>
    <w:rsid w:val="007B1769"/>
    <w:rsid w:val="007B18C4"/>
    <w:rsid w:val="007B21A0"/>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EC3"/>
    <w:rsid w:val="007B55B6"/>
    <w:rsid w:val="007B5C53"/>
    <w:rsid w:val="007B5EBB"/>
    <w:rsid w:val="007B5EE1"/>
    <w:rsid w:val="007B5FF0"/>
    <w:rsid w:val="007B626E"/>
    <w:rsid w:val="007B6300"/>
    <w:rsid w:val="007B6473"/>
    <w:rsid w:val="007B66B4"/>
    <w:rsid w:val="007B68D6"/>
    <w:rsid w:val="007B7235"/>
    <w:rsid w:val="007B7496"/>
    <w:rsid w:val="007B76CE"/>
    <w:rsid w:val="007B7A2E"/>
    <w:rsid w:val="007B7F1D"/>
    <w:rsid w:val="007C0716"/>
    <w:rsid w:val="007C107C"/>
    <w:rsid w:val="007C162B"/>
    <w:rsid w:val="007C2086"/>
    <w:rsid w:val="007C2235"/>
    <w:rsid w:val="007C2739"/>
    <w:rsid w:val="007C27F7"/>
    <w:rsid w:val="007C2D4C"/>
    <w:rsid w:val="007C3162"/>
    <w:rsid w:val="007C3550"/>
    <w:rsid w:val="007C37F1"/>
    <w:rsid w:val="007C3EFF"/>
    <w:rsid w:val="007C421B"/>
    <w:rsid w:val="007C49E1"/>
    <w:rsid w:val="007C4F84"/>
    <w:rsid w:val="007C52D8"/>
    <w:rsid w:val="007C5435"/>
    <w:rsid w:val="007C5B54"/>
    <w:rsid w:val="007C5EEF"/>
    <w:rsid w:val="007C6608"/>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088"/>
    <w:rsid w:val="007E2344"/>
    <w:rsid w:val="007E2681"/>
    <w:rsid w:val="007E30DA"/>
    <w:rsid w:val="007E33B2"/>
    <w:rsid w:val="007E4438"/>
    <w:rsid w:val="007E4777"/>
    <w:rsid w:val="007E4F09"/>
    <w:rsid w:val="007E5401"/>
    <w:rsid w:val="007E5CFD"/>
    <w:rsid w:val="007E6002"/>
    <w:rsid w:val="007E67B4"/>
    <w:rsid w:val="007E6991"/>
    <w:rsid w:val="007E6C6F"/>
    <w:rsid w:val="007E7692"/>
    <w:rsid w:val="007E7E51"/>
    <w:rsid w:val="007F0715"/>
    <w:rsid w:val="007F08BC"/>
    <w:rsid w:val="007F0B07"/>
    <w:rsid w:val="007F157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3C5"/>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DD0"/>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481"/>
    <w:rsid w:val="00815692"/>
    <w:rsid w:val="00815A93"/>
    <w:rsid w:val="00815C5B"/>
    <w:rsid w:val="008167B3"/>
    <w:rsid w:val="0081771A"/>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01F"/>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121"/>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579"/>
    <w:rsid w:val="008809E0"/>
    <w:rsid w:val="00880C1F"/>
    <w:rsid w:val="008815D1"/>
    <w:rsid w:val="0088190E"/>
    <w:rsid w:val="00881920"/>
    <w:rsid w:val="00881A9A"/>
    <w:rsid w:val="00881C68"/>
    <w:rsid w:val="008823AA"/>
    <w:rsid w:val="00882419"/>
    <w:rsid w:val="00882911"/>
    <w:rsid w:val="00882EC6"/>
    <w:rsid w:val="00883B9F"/>
    <w:rsid w:val="00883DC4"/>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3E"/>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AF1"/>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5290"/>
    <w:rsid w:val="008B559D"/>
    <w:rsid w:val="008B55FA"/>
    <w:rsid w:val="008B60A7"/>
    <w:rsid w:val="008B6491"/>
    <w:rsid w:val="008B6D94"/>
    <w:rsid w:val="008B6FEB"/>
    <w:rsid w:val="008B77B0"/>
    <w:rsid w:val="008C09EB"/>
    <w:rsid w:val="008C146F"/>
    <w:rsid w:val="008C178D"/>
    <w:rsid w:val="008C1912"/>
    <w:rsid w:val="008C2186"/>
    <w:rsid w:val="008C22E1"/>
    <w:rsid w:val="008C24DA"/>
    <w:rsid w:val="008C3E88"/>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062"/>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222A"/>
    <w:rsid w:val="0093287C"/>
    <w:rsid w:val="00932A5B"/>
    <w:rsid w:val="0093310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4D7F"/>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4B88"/>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BE"/>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01B"/>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6E1"/>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075"/>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36C"/>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9F0"/>
    <w:rsid w:val="00A67EC3"/>
    <w:rsid w:val="00A7030F"/>
    <w:rsid w:val="00A705E3"/>
    <w:rsid w:val="00A710D4"/>
    <w:rsid w:val="00A712B6"/>
    <w:rsid w:val="00A720C2"/>
    <w:rsid w:val="00A7217E"/>
    <w:rsid w:val="00A72300"/>
    <w:rsid w:val="00A735F8"/>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154"/>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61"/>
    <w:rsid w:val="00AF1285"/>
    <w:rsid w:val="00AF169F"/>
    <w:rsid w:val="00AF1AEE"/>
    <w:rsid w:val="00AF2226"/>
    <w:rsid w:val="00AF25AC"/>
    <w:rsid w:val="00AF29BF"/>
    <w:rsid w:val="00AF2F89"/>
    <w:rsid w:val="00AF3105"/>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F28"/>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138"/>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C3F"/>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D32"/>
    <w:rsid w:val="00BA3E3E"/>
    <w:rsid w:val="00BA4BE0"/>
    <w:rsid w:val="00BA546D"/>
    <w:rsid w:val="00BA6367"/>
    <w:rsid w:val="00BA668E"/>
    <w:rsid w:val="00BA6988"/>
    <w:rsid w:val="00BA6FAD"/>
    <w:rsid w:val="00BA70AC"/>
    <w:rsid w:val="00BA7D32"/>
    <w:rsid w:val="00BA7EF4"/>
    <w:rsid w:val="00BB029C"/>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2C45"/>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630F"/>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6A6"/>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AAC"/>
    <w:rsid w:val="00C26B37"/>
    <w:rsid w:val="00C26D4D"/>
    <w:rsid w:val="00C26D51"/>
    <w:rsid w:val="00C26E8C"/>
    <w:rsid w:val="00C27FF2"/>
    <w:rsid w:val="00C306DF"/>
    <w:rsid w:val="00C30B02"/>
    <w:rsid w:val="00C30FC4"/>
    <w:rsid w:val="00C3129C"/>
    <w:rsid w:val="00C31BA6"/>
    <w:rsid w:val="00C3257A"/>
    <w:rsid w:val="00C32B36"/>
    <w:rsid w:val="00C33D21"/>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2EEF"/>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51D"/>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B8"/>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2FDB"/>
    <w:rsid w:val="00CD32F6"/>
    <w:rsid w:val="00CD356A"/>
    <w:rsid w:val="00CD3739"/>
    <w:rsid w:val="00CD3C78"/>
    <w:rsid w:val="00CD43BF"/>
    <w:rsid w:val="00CD44E3"/>
    <w:rsid w:val="00CD4BAB"/>
    <w:rsid w:val="00CD4C64"/>
    <w:rsid w:val="00CD4FA8"/>
    <w:rsid w:val="00CD5F26"/>
    <w:rsid w:val="00CD608C"/>
    <w:rsid w:val="00CD621D"/>
    <w:rsid w:val="00CD6241"/>
    <w:rsid w:val="00CD6536"/>
    <w:rsid w:val="00CD65E7"/>
    <w:rsid w:val="00CD7667"/>
    <w:rsid w:val="00CD7A0E"/>
    <w:rsid w:val="00CE04BA"/>
    <w:rsid w:val="00CE0709"/>
    <w:rsid w:val="00CE08EE"/>
    <w:rsid w:val="00CE0B54"/>
    <w:rsid w:val="00CE0CB5"/>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7B2"/>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2B5"/>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0B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A7"/>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3E22"/>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6D78"/>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8E7"/>
    <w:rsid w:val="00E549A9"/>
    <w:rsid w:val="00E54BD4"/>
    <w:rsid w:val="00E54D21"/>
    <w:rsid w:val="00E55631"/>
    <w:rsid w:val="00E55782"/>
    <w:rsid w:val="00E559DC"/>
    <w:rsid w:val="00E55D91"/>
    <w:rsid w:val="00E56B05"/>
    <w:rsid w:val="00E56B26"/>
    <w:rsid w:val="00E56BE0"/>
    <w:rsid w:val="00E56C5E"/>
    <w:rsid w:val="00E578F6"/>
    <w:rsid w:val="00E57A85"/>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C4D"/>
    <w:rsid w:val="00E73E77"/>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00F"/>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2FF1"/>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69"/>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6E5D"/>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AA2"/>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1D88"/>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6AD"/>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9B1"/>
    <w:rsid w:val="00F66BB4"/>
    <w:rsid w:val="00F66D26"/>
    <w:rsid w:val="00F671DB"/>
    <w:rsid w:val="00F6720C"/>
    <w:rsid w:val="00F679DA"/>
    <w:rsid w:val="00F700F3"/>
    <w:rsid w:val="00F703DB"/>
    <w:rsid w:val="00F706ED"/>
    <w:rsid w:val="00F7082C"/>
    <w:rsid w:val="00F71595"/>
    <w:rsid w:val="00F7171B"/>
    <w:rsid w:val="00F71FA3"/>
    <w:rsid w:val="00F723AE"/>
    <w:rsid w:val="00F726A0"/>
    <w:rsid w:val="00F73D49"/>
    <w:rsid w:val="00F73DA9"/>
    <w:rsid w:val="00F73DE7"/>
    <w:rsid w:val="00F74085"/>
    <w:rsid w:val="00F7434C"/>
    <w:rsid w:val="00F747C2"/>
    <w:rsid w:val="00F74F40"/>
    <w:rsid w:val="00F75642"/>
    <w:rsid w:val="00F75BBC"/>
    <w:rsid w:val="00F761BD"/>
    <w:rsid w:val="00F76295"/>
    <w:rsid w:val="00F7670E"/>
    <w:rsid w:val="00F769A8"/>
    <w:rsid w:val="00F76F2B"/>
    <w:rsid w:val="00F7762C"/>
    <w:rsid w:val="00F776C4"/>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B9F"/>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154"/>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8115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8115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0553017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5901957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568215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E31E2-5757-4AB0-90E7-8E845D24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2019-11-07T06:07:00Z</dcterms:created>
  <dcterms:modified xsi:type="dcterms:W3CDTF">2019-11-08T09:05:00Z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